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/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717244" w:rsidTr="00855545">
        <w:tc>
          <w:tcPr>
            <w:tcW w:w="6204" w:type="dxa"/>
            <w:hideMark/>
          </w:tcPr>
          <w:p w:rsidR="00717244" w:rsidRDefault="00717244" w:rsidP="008555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17244" w:rsidRDefault="00717244" w:rsidP="00717244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30/2019</w:t>
      </w:r>
    </w:p>
    <w:p w:rsidR="00717244" w:rsidRDefault="00717244" w:rsidP="0071724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17244" w:rsidRDefault="00717244" w:rsidP="0071724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17244" w:rsidRPr="00717244" w:rsidRDefault="00717244" w:rsidP="0071724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17244" w:rsidRDefault="00717244" w:rsidP="00717244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r>
        <w:rPr>
          <w:sz w:val="28"/>
          <w:szCs w:val="28"/>
        </w:rPr>
        <w:t xml:space="preserve">засновано на извршната исправа ОДУ бр.082/10  од 16.03.2010 год. на Нотар Марјан Коцевски Куманово и ОДУ бр.382/10  од 21.10.2010 год. на Нотар Марјан Коцевски Куманово,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24.06.2022 </w:t>
      </w:r>
      <w:r>
        <w:rPr>
          <w:sz w:val="28"/>
          <w:szCs w:val="28"/>
          <w:lang w:val="mk-MK"/>
        </w:rPr>
        <w:t xml:space="preserve">го </w:t>
      </w:r>
    </w:p>
    <w:p w:rsidR="00717244" w:rsidRDefault="00717244" w:rsidP="0071724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17244" w:rsidRDefault="00717244" w:rsidP="00717244">
      <w:pPr>
        <w:rPr>
          <w:sz w:val="28"/>
          <w:szCs w:val="28"/>
          <w:lang w:val="mk-MK"/>
        </w:rPr>
      </w:pPr>
    </w:p>
    <w:p w:rsidR="00717244" w:rsidRDefault="00717244" w:rsidP="00717244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717244" w:rsidRDefault="00717244" w:rsidP="00717244">
      <w:pPr>
        <w:rPr>
          <w:sz w:val="28"/>
          <w:szCs w:val="28"/>
          <w:lang w:val="mk-MK"/>
        </w:rPr>
      </w:pPr>
    </w:p>
    <w:p w:rsidR="00717244" w:rsidRDefault="00717244" w:rsidP="0071724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Записник за делба на износот постигнат со продажба на недвижност врз основа на чл. 202 од ЗИ од 23.06.2022 година заведено со И.бр.30/2019,   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17244" w:rsidRDefault="00717244" w:rsidP="00717244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717244" w:rsidRDefault="00717244" w:rsidP="0071724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717244" w:rsidRDefault="00717244" w:rsidP="00717244">
      <w:pPr>
        <w:jc w:val="both"/>
        <w:rPr>
          <w:sz w:val="28"/>
          <w:szCs w:val="28"/>
          <w:lang w:val="mk-MK"/>
        </w:rPr>
      </w:pPr>
    </w:p>
    <w:p w:rsidR="00717244" w:rsidRDefault="00717244" w:rsidP="0071724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17244" w:rsidRDefault="00717244" w:rsidP="00717244">
      <w:pPr>
        <w:rPr>
          <w:sz w:val="28"/>
          <w:szCs w:val="28"/>
          <w:lang w:val="mk-MK"/>
        </w:rPr>
      </w:pPr>
    </w:p>
    <w:p w:rsidR="00717244" w:rsidRDefault="00717244" w:rsidP="0071724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</w:t>
      </w:r>
      <w:r w:rsidR="00404775">
        <w:rPr>
          <w:b/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ИЗВРШИТЕЛ </w:t>
      </w:r>
    </w:p>
    <w:p w:rsidR="00717244" w:rsidRDefault="00717244" w:rsidP="0071724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17244" w:rsidRPr="00174DBE" w:rsidRDefault="00717244" w:rsidP="00717244">
      <w:pPr>
        <w:jc w:val="right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717A91" w:rsidRDefault="00717A91"/>
    <w:sectPr w:rsidR="00717A91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3C" w:rsidRPr="005B413C" w:rsidRDefault="00717A91" w:rsidP="005B41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</w:t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40477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17244"/>
    <w:rsid w:val="00404775"/>
    <w:rsid w:val="00717244"/>
    <w:rsid w:val="0071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7244"/>
    <w:rPr>
      <w:color w:val="0000FF"/>
      <w:u w:val="single"/>
    </w:rPr>
  </w:style>
  <w:style w:type="paragraph" w:styleId="Footer">
    <w:name w:val="footer"/>
    <w:basedOn w:val="Normal"/>
    <w:link w:val="FooterChar"/>
    <w:rsid w:val="0071724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1724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2022-06-24T11:37:00Z</dcterms:created>
  <dcterms:modified xsi:type="dcterms:W3CDTF">2022-06-24T11:38:00Z</dcterms:modified>
</cp:coreProperties>
</file>