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703B2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703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731B5C"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1535/2019</w:t>
            </w:r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823825" w:rsidRPr="00A703B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1499C" w:rsidRPr="00A703B2" w:rsidRDefault="001E2BC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Извршителот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Sheet1!R2C2 \a \f 4 \r 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од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Sheet1!R2C3 \a \f 4 \r 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Sheet1!R2C5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со ЕДБ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Sheet1!R2C7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и седиште во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Sheet1!R2C8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Sheet1!R2C9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ОДУ.бр.156/04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од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Sheet1!R2C10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02.07.2004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на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Sheet1!R2C11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Нотар Сашо Ѓурчиноски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, 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Excel.Sheet.8 C:\\ObrasciIzvrsiteli\\VORD.xls Sheet1!R2C15 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Струга, за спроведување на извршување во вредност </w:t>
      </w:r>
      <w:bookmarkStart w:id="5" w:name="VredPredmet"/>
      <w:bookmarkEnd w:id="5"/>
      <w:r w:rsidRPr="00A703B2">
        <w:rPr>
          <w:rFonts w:ascii="Arial" w:hAnsi="Arial" w:cs="Arial"/>
          <w:sz w:val="24"/>
          <w:szCs w:val="24"/>
        </w:rPr>
        <w:t>64.629.694,00 денари,</w:t>
      </w:r>
      <w:r w:rsidR="0021499C" w:rsidRPr="00A703B2">
        <w:rPr>
          <w:rFonts w:ascii="Arial" w:hAnsi="Arial" w:cs="Arial"/>
          <w:sz w:val="24"/>
          <w:szCs w:val="24"/>
        </w:rPr>
        <w:t xml:space="preserve"> на ден </w:t>
      </w:r>
      <w:bookmarkStart w:id="6" w:name="DatumIzdava"/>
      <w:bookmarkEnd w:id="6"/>
      <w:r w:rsidR="00731B5C" w:rsidRPr="00A703B2">
        <w:rPr>
          <w:rFonts w:ascii="Arial" w:hAnsi="Arial" w:cs="Arial"/>
          <w:sz w:val="24"/>
          <w:szCs w:val="24"/>
        </w:rPr>
        <w:t>13.01.2021</w:t>
      </w:r>
      <w:r w:rsidR="0021499C" w:rsidRPr="00A703B2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A703B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</w:t>
      </w:r>
      <w:r w:rsidR="00DF1299"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A703B2">
        <w:rPr>
          <w:rFonts w:ascii="Arial" w:hAnsi="Arial" w:cs="Arial"/>
          <w:sz w:val="24"/>
          <w:szCs w:val="24"/>
        </w:rPr>
        <w:t xml:space="preserve"> </w:t>
      </w:r>
      <w:r w:rsidR="00DF1299"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A703B2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A703B2">
        <w:rPr>
          <w:rFonts w:ascii="Arial" w:hAnsi="Arial" w:cs="Arial"/>
          <w:b/>
          <w:sz w:val="24"/>
          <w:szCs w:val="24"/>
        </w:rPr>
        <w:t>)</w:t>
      </w:r>
    </w:p>
    <w:p w:rsidR="00DF1299" w:rsidRPr="00A703B2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299" w:rsidRPr="00A703B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</w:t>
      </w:r>
    </w:p>
    <w:p w:rsidR="00211393" w:rsidRPr="00A703B2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03B2">
        <w:rPr>
          <w:rFonts w:ascii="Arial" w:eastAsia="Times New Roman" w:hAnsi="Arial" w:cs="Arial"/>
          <w:sz w:val="24"/>
          <w:szCs w:val="24"/>
        </w:rPr>
        <w:t xml:space="preserve">СЕ ОПРЕДЕЛУВА  продажба со усно  јавно наддавање на </w:t>
      </w:r>
      <w:r w:rsidR="001E2BC3" w:rsidRPr="00A703B2">
        <w:rPr>
          <w:rFonts w:ascii="Arial" w:hAnsi="Arial" w:cs="Arial"/>
          <w:sz w:val="24"/>
          <w:szCs w:val="24"/>
        </w:rPr>
        <w:t xml:space="preserve">недвижноста </w:t>
      </w:r>
      <w:bookmarkStart w:id="7" w:name="ODolz1"/>
      <w:bookmarkEnd w:id="7"/>
      <w:r w:rsidR="001E2BC3" w:rsidRPr="00A703B2">
        <w:rPr>
          <w:rFonts w:ascii="Arial" w:hAnsi="Arial" w:cs="Arial"/>
          <w:bCs/>
          <w:sz w:val="24"/>
          <w:szCs w:val="24"/>
        </w:rPr>
        <w:t xml:space="preserve">опишана во </w:t>
      </w:r>
      <w:r w:rsidR="001E2BC3" w:rsidRPr="00A703B2">
        <w:rPr>
          <w:rFonts w:ascii="Arial" w:hAnsi="Arial" w:cs="Arial"/>
          <w:b/>
          <w:bCs/>
          <w:sz w:val="24"/>
          <w:szCs w:val="24"/>
        </w:rPr>
        <w:t>имотен лист</w:t>
      </w:r>
      <w:r w:rsidR="001E2BC3" w:rsidRPr="00A703B2">
        <w:rPr>
          <w:rFonts w:ascii="Arial" w:hAnsi="Arial" w:cs="Arial"/>
          <w:b/>
          <w:sz w:val="24"/>
          <w:szCs w:val="24"/>
        </w:rPr>
        <w:t xml:space="preserve"> 50931 за КО Мороиште</w:t>
      </w:r>
      <w:r w:rsidR="001E2BC3" w:rsidRPr="00A703B2">
        <w:rPr>
          <w:rFonts w:ascii="Arial" w:hAnsi="Arial" w:cs="Arial"/>
          <w:sz w:val="24"/>
          <w:szCs w:val="24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742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782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647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94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67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75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20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 xml:space="preserve">17 </w:t>
      </w:r>
      <w:r w:rsidR="001E2BC3" w:rsidRPr="00A703B2">
        <w:rPr>
          <w:rFonts w:ascii="Arial" w:hAnsi="Arial" w:cs="Arial"/>
          <w:b/>
          <w:sz w:val="24"/>
          <w:szCs w:val="24"/>
        </w:rPr>
        <w:lastRenderedPageBreak/>
        <w:t>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18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и </w:t>
      </w:r>
      <w:r w:rsidR="001E2BC3" w:rsidRPr="00A703B2">
        <w:rPr>
          <w:rFonts w:ascii="Arial" w:hAnsi="Arial" w:cs="Arial"/>
          <w:bCs/>
          <w:sz w:val="24"/>
          <w:szCs w:val="24"/>
        </w:rPr>
        <w:t>недвижноста опишана во геодетски елаборат за етажен премер на објекти број 0802-55/2 од 10.04.2019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 w:rsidRPr="00A703B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73A2F" w:rsidRPr="00A703B2" w:rsidRDefault="00211393" w:rsidP="00D73A2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703B2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1E2BC3" w:rsidRPr="00A70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10.02.2021 </w:t>
      </w:r>
      <w:r w:rsidRPr="00A703B2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1E2BC3" w:rsidRPr="00A70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13.30 </w:t>
      </w:r>
      <w:r w:rsidRPr="00A703B2">
        <w:rPr>
          <w:rFonts w:ascii="Arial" w:eastAsia="Times New Roman" w:hAnsi="Arial" w:cs="Arial"/>
          <w:b/>
          <w:sz w:val="24"/>
          <w:szCs w:val="24"/>
        </w:rPr>
        <w:t>часот</w:t>
      </w:r>
      <w:r w:rsidRPr="00A703B2">
        <w:rPr>
          <w:rFonts w:ascii="Arial" w:eastAsia="Times New Roman" w:hAnsi="Arial" w:cs="Arial"/>
          <w:sz w:val="24"/>
          <w:szCs w:val="24"/>
        </w:rPr>
        <w:t xml:space="preserve"> </w:t>
      </w:r>
      <w:r w:rsidR="00D73A2F" w:rsidRPr="00A703B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D73A2F" w:rsidRPr="00A703B2" w:rsidRDefault="00D73A2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1393" w:rsidRPr="00A703B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703B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="00A2498A" w:rsidRPr="00A703B2">
        <w:rPr>
          <w:rFonts w:ascii="Arial" w:eastAsia="Times New Roman" w:hAnsi="Arial" w:cs="Arial"/>
          <w:sz w:val="24"/>
          <w:szCs w:val="24"/>
        </w:rPr>
        <w:t xml:space="preserve">од </w:t>
      </w:r>
      <w:r w:rsidRPr="00A703B2">
        <w:rPr>
          <w:rFonts w:ascii="Arial" w:eastAsia="Times New Roman" w:hAnsi="Arial" w:cs="Arial"/>
          <w:sz w:val="24"/>
          <w:szCs w:val="24"/>
        </w:rPr>
        <w:t xml:space="preserve">изнесува </w:t>
      </w:r>
      <w:r w:rsidR="00A2498A" w:rsidRPr="00A703B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37.475.493,00 </w:t>
      </w:r>
      <w:r w:rsidRPr="00A703B2">
        <w:rPr>
          <w:rFonts w:ascii="Arial" w:eastAsia="Times New Roman" w:hAnsi="Arial" w:cs="Arial"/>
          <w:b/>
          <w:sz w:val="24"/>
          <w:szCs w:val="24"/>
          <w:u w:val="single"/>
        </w:rPr>
        <w:t>денари</w:t>
      </w:r>
      <w:r w:rsidRPr="00A703B2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A2498A" w:rsidRPr="00A703B2" w:rsidRDefault="00A249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A703B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A703B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</w:t>
      </w:r>
      <w:r w:rsidRPr="00A703B2">
        <w:rPr>
          <w:rFonts w:ascii="Arial" w:hAnsi="Arial" w:cs="Arial"/>
          <w:sz w:val="24"/>
          <w:szCs w:val="24"/>
          <w:lang w:val="en-US"/>
        </w:rPr>
        <w:t xml:space="preserve"> </w:t>
      </w:r>
      <w:r w:rsidRPr="00A703B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703B2">
        <w:rPr>
          <w:rFonts w:ascii="Arial" w:hAnsi="Arial" w:cs="Arial"/>
          <w:sz w:val="24"/>
          <w:szCs w:val="24"/>
          <w:lang w:val="bg-BG"/>
        </w:rPr>
        <w:lastRenderedPageBreak/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51157" w:rsidRPr="008873E6" w:rsidRDefault="00A703B2" w:rsidP="008873E6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A703B2">
        <w:rPr>
          <w:rFonts w:ascii="Arial" w:hAnsi="Arial" w:cs="Arial"/>
          <w:sz w:val="24"/>
          <w:szCs w:val="24"/>
        </w:rPr>
        <w:t xml:space="preserve">    </w:t>
      </w:r>
      <w:bookmarkStart w:id="8" w:name="_GoBack"/>
      <w:bookmarkEnd w:id="8"/>
    </w:p>
    <w:p w:rsidR="00B51157" w:rsidRPr="00A703B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3B2" w:rsidRPr="00A703B2" w:rsidRDefault="00823825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703B2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Pr="00A703B2">
        <w:rPr>
          <w:rFonts w:ascii="Arial" w:hAnsi="Arial" w:cs="Arial"/>
          <w:sz w:val="24"/>
          <w:szCs w:val="24"/>
        </w:rPr>
        <w:t xml:space="preserve">  </w:t>
      </w:r>
    </w:p>
    <w:p w:rsidR="00A703B2" w:rsidRPr="00A703B2" w:rsidRDefault="00A703B2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23825" w:rsidRPr="00A703B2" w:rsidRDefault="00A703B2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823825" w:rsidRPr="00A703B2">
        <w:rPr>
          <w:rFonts w:ascii="Arial" w:hAnsi="Arial" w:cs="Arial"/>
          <w:sz w:val="24"/>
          <w:szCs w:val="24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703B2" w:rsidTr="009851EC">
        <w:trPr>
          <w:trHeight w:val="851"/>
        </w:trPr>
        <w:tc>
          <w:tcPr>
            <w:tcW w:w="4297" w:type="dxa"/>
          </w:tcPr>
          <w:p w:rsidR="00823825" w:rsidRPr="00A703B2" w:rsidRDefault="00731B5C" w:rsidP="009851EC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9" w:name="OIzvIme"/>
            <w:bookmarkEnd w:id="9"/>
            <w:r w:rsidRPr="00A703B2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Д.-на: </w:t>
      </w:r>
      <w:r w:rsidRPr="00A703B2">
        <w:rPr>
          <w:rFonts w:ascii="Arial" w:hAnsi="Arial" w:cs="Arial"/>
          <w:sz w:val="24"/>
          <w:szCs w:val="24"/>
        </w:rPr>
        <w:tab/>
      </w:r>
    </w:p>
    <w:p w:rsidR="00823825" w:rsidRPr="00A703B2" w:rsidRDefault="00823825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доверител</w:t>
      </w:r>
    </w:p>
    <w:p w:rsidR="00823825" w:rsidRPr="00A703B2" w:rsidRDefault="00823825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должник</w:t>
      </w:r>
    </w:p>
    <w:p w:rsidR="00A703B2" w:rsidRPr="00A703B2" w:rsidRDefault="00A703B2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УЈП</w:t>
      </w:r>
    </w:p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E85717" w:rsidRPr="00A703B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A703B2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A703B2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Правна поука:</w:t>
      </w:r>
      <w:r w:rsidRPr="00A703B2">
        <w:rPr>
          <w:rFonts w:ascii="Arial" w:hAnsi="Arial" w:cs="Arial"/>
          <w:sz w:val="24"/>
          <w:szCs w:val="24"/>
        </w:rPr>
        <w:t xml:space="preserve"> Против овој </w:t>
      </w:r>
      <w:r w:rsidR="00A703B2" w:rsidRPr="00A703B2">
        <w:rPr>
          <w:rFonts w:ascii="Arial" w:hAnsi="Arial" w:cs="Arial"/>
          <w:sz w:val="24"/>
          <w:szCs w:val="24"/>
        </w:rPr>
        <w:t>заклучок</w:t>
      </w:r>
      <w:r w:rsidRPr="00A703B2">
        <w:rPr>
          <w:rFonts w:ascii="Arial" w:hAnsi="Arial" w:cs="Arial"/>
          <w:sz w:val="24"/>
          <w:szCs w:val="24"/>
        </w:rPr>
        <w:t xml:space="preserve"> може да се поднесе приговор до Основниот суд </w:t>
      </w:r>
      <w:bookmarkStart w:id="10" w:name="OSudPouka"/>
      <w:bookmarkEnd w:id="10"/>
      <w:r w:rsidR="00731B5C" w:rsidRPr="00A703B2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A703B2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A703B2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A703B2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A703B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5C" w:rsidRDefault="00731B5C" w:rsidP="00731B5C">
      <w:pPr>
        <w:spacing w:after="0" w:line="240" w:lineRule="auto"/>
      </w:pPr>
      <w:r>
        <w:separator/>
      </w:r>
    </w:p>
  </w:endnote>
  <w:endnote w:type="continuationSeparator" w:id="0">
    <w:p w:rsidR="00731B5C" w:rsidRDefault="00731B5C" w:rsidP="007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5C" w:rsidRPr="00731B5C" w:rsidRDefault="00731B5C" w:rsidP="00731B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73E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5C" w:rsidRDefault="00731B5C" w:rsidP="00731B5C">
      <w:pPr>
        <w:spacing w:after="0" w:line="240" w:lineRule="auto"/>
      </w:pPr>
      <w:r>
        <w:separator/>
      </w:r>
    </w:p>
  </w:footnote>
  <w:footnote w:type="continuationSeparator" w:id="0">
    <w:p w:rsidR="00731B5C" w:rsidRDefault="00731B5C" w:rsidP="0073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DC"/>
    <w:multiLevelType w:val="hybridMultilevel"/>
    <w:tmpl w:val="A1500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168E"/>
    <w:multiLevelType w:val="hybridMultilevel"/>
    <w:tmpl w:val="F7948B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E2BC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A5902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1B5C"/>
    <w:rsid w:val="00765920"/>
    <w:rsid w:val="007A6108"/>
    <w:rsid w:val="007A7847"/>
    <w:rsid w:val="007B32B7"/>
    <w:rsid w:val="00823825"/>
    <w:rsid w:val="00847844"/>
    <w:rsid w:val="00866DC5"/>
    <w:rsid w:val="0087784C"/>
    <w:rsid w:val="008873E6"/>
    <w:rsid w:val="008C43A1"/>
    <w:rsid w:val="00913EF8"/>
    <w:rsid w:val="00926A7A"/>
    <w:rsid w:val="009626C8"/>
    <w:rsid w:val="00990882"/>
    <w:rsid w:val="00A2498A"/>
    <w:rsid w:val="00A703B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42B4"/>
    <w:rsid w:val="00D47D14"/>
    <w:rsid w:val="00D73A2F"/>
    <w:rsid w:val="00DA5DC9"/>
    <w:rsid w:val="00DC321E"/>
    <w:rsid w:val="00DF1299"/>
    <w:rsid w:val="00E01FCA"/>
    <w:rsid w:val="00E3104F"/>
    <w:rsid w:val="00E41120"/>
    <w:rsid w:val="00E54AAA"/>
    <w:rsid w:val="00E64DBC"/>
    <w:rsid w:val="00E8571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D66FC"/>
  <w15:docId w15:val="{5F7FA16E-B337-4503-86F4-7FD1C52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dcterms:created xsi:type="dcterms:W3CDTF">2021-01-13T08:52:00Z</dcterms:created>
  <dcterms:modified xsi:type="dcterms:W3CDTF">2021-01-13T09:36:00Z</dcterms:modified>
</cp:coreProperties>
</file>