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8A4437">
        <w:tc>
          <w:tcPr>
            <w:tcW w:w="6204" w:type="dxa"/>
            <w:hideMark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A4437">
        <w:tc>
          <w:tcPr>
            <w:tcW w:w="6204" w:type="dxa"/>
            <w:hideMark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A4437">
        <w:tc>
          <w:tcPr>
            <w:tcW w:w="6204" w:type="dxa"/>
            <w:hideMark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8A44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8A4437">
        <w:tc>
          <w:tcPr>
            <w:tcW w:w="6204" w:type="dxa"/>
            <w:hideMark/>
          </w:tcPr>
          <w:p w:rsidR="00823825" w:rsidRPr="00DB4229" w:rsidRDefault="008A4437" w:rsidP="008A44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A4437">
        <w:tc>
          <w:tcPr>
            <w:tcW w:w="6204" w:type="dxa"/>
            <w:hideMark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A4437">
        <w:tc>
          <w:tcPr>
            <w:tcW w:w="6204" w:type="dxa"/>
            <w:hideMark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A4437">
              <w:rPr>
                <w:rFonts w:ascii="Arial" w:eastAsia="Times New Roman" w:hAnsi="Arial" w:cs="Arial"/>
                <w:b/>
                <w:lang w:val="en-US"/>
              </w:rPr>
              <w:t>637/2020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8A4437">
        <w:tc>
          <w:tcPr>
            <w:tcW w:w="6204" w:type="dxa"/>
            <w:hideMark/>
          </w:tcPr>
          <w:p w:rsidR="00823825" w:rsidRPr="00DB4229" w:rsidRDefault="008A4437" w:rsidP="008A44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A4437">
        <w:tc>
          <w:tcPr>
            <w:tcW w:w="6204" w:type="dxa"/>
            <w:hideMark/>
          </w:tcPr>
          <w:p w:rsidR="00823825" w:rsidRPr="00DB4229" w:rsidRDefault="008A4437" w:rsidP="008A44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A4437">
        <w:tc>
          <w:tcPr>
            <w:tcW w:w="6204" w:type="dxa"/>
            <w:hideMark/>
          </w:tcPr>
          <w:p w:rsidR="00823825" w:rsidRPr="00DB4229" w:rsidRDefault="008A4437" w:rsidP="008A44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A44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A4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F1299" w:rsidRPr="00823825" w:rsidRDefault="0021499C" w:rsidP="00BC79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A4437">
        <w:rPr>
          <w:rFonts w:ascii="Arial" w:hAnsi="Arial" w:cs="Arial"/>
        </w:rPr>
        <w:t>Павел Томашевски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A4437">
        <w:rPr>
          <w:rFonts w:ascii="Arial" w:hAnsi="Arial" w:cs="Arial"/>
        </w:rPr>
        <w:t>Скопје, ул.11 Октомври бр.23А-2/4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A4437">
        <w:rPr>
          <w:rFonts w:ascii="Arial" w:hAnsi="Arial" w:cs="Arial"/>
        </w:rPr>
        <w:t>доверителот Јаворка Стојановска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A4437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Start w:id="10" w:name="opis_sed1"/>
      <w:bookmarkEnd w:id="9"/>
      <w:bookmarkEnd w:id="10"/>
      <w:r w:rsidR="008A4437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8A4437">
        <w:rPr>
          <w:rFonts w:ascii="Arial" w:hAnsi="Arial" w:cs="Arial"/>
        </w:rPr>
        <w:t>ул.206 Гоце Делчев бр.27 преку полномошник Адвокат Бобан Богдановски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8A4437">
        <w:rPr>
          <w:rFonts w:ascii="Arial" w:hAnsi="Arial" w:cs="Arial"/>
        </w:rPr>
        <w:t>XIX.МАЛВП-1117/19 од 16.12.2019 година на Основен граѓански суд Скопје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8A4437">
        <w:rPr>
          <w:rFonts w:ascii="Arial" w:hAnsi="Arial" w:cs="Arial"/>
        </w:rPr>
        <w:t>должникот Тања Штоффел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8A4437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8A4437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8A4437">
        <w:rPr>
          <w:rFonts w:ascii="Arial" w:hAnsi="Arial" w:cs="Arial"/>
        </w:rPr>
        <w:t>ул. 1 бр.2 Катланово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2" w:name="DatumIzdava"/>
      <w:bookmarkEnd w:id="22"/>
      <w:r w:rsidR="008A4437">
        <w:rPr>
          <w:rFonts w:ascii="Arial" w:hAnsi="Arial" w:cs="Arial"/>
        </w:rPr>
        <w:t>29.12.2020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A4437" w:rsidRDefault="00211393" w:rsidP="008A4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BC79AC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недвижноста </w:t>
      </w:r>
      <w:r w:rsidR="008A4437" w:rsidRPr="00C81483">
        <w:rPr>
          <w:rFonts w:ascii="Arial" w:hAnsi="Arial" w:cs="Arial"/>
        </w:rPr>
        <w:t xml:space="preserve">запишана во </w:t>
      </w:r>
      <w:r w:rsidR="008A4437" w:rsidRPr="00D16FD2">
        <w:rPr>
          <w:rFonts w:ascii="Arial" w:hAnsi="Arial" w:cs="Arial"/>
          <w:b/>
        </w:rPr>
        <w:t>имотен лист бр.</w:t>
      </w:r>
      <w:r w:rsidR="008A4437">
        <w:rPr>
          <w:rFonts w:ascii="Arial" w:hAnsi="Arial" w:cs="Arial"/>
          <w:b/>
        </w:rPr>
        <w:t>681</w:t>
      </w:r>
      <w:r w:rsidR="008A4437" w:rsidRPr="00D16FD2">
        <w:rPr>
          <w:rFonts w:ascii="Arial" w:hAnsi="Arial" w:cs="Arial"/>
          <w:b/>
        </w:rPr>
        <w:t xml:space="preserve">, КО </w:t>
      </w:r>
      <w:r w:rsidR="008A4437">
        <w:rPr>
          <w:rFonts w:ascii="Arial" w:hAnsi="Arial" w:cs="Arial"/>
          <w:b/>
        </w:rPr>
        <w:t>Трубарево</w:t>
      </w:r>
      <w:r w:rsidR="008A4437" w:rsidRPr="00D16FD2">
        <w:rPr>
          <w:rFonts w:ascii="Arial" w:hAnsi="Arial" w:cs="Arial"/>
          <w:b/>
        </w:rPr>
        <w:t>,  при АКН на СМ – ЦКН Скопје</w:t>
      </w:r>
      <w:r w:rsidR="008A4437">
        <w:rPr>
          <w:rFonts w:ascii="Arial" w:hAnsi="Arial" w:cs="Arial"/>
        </w:rPr>
        <w:t xml:space="preserve"> </w:t>
      </w:r>
      <w:r w:rsidR="008A4437" w:rsidRPr="00C81483">
        <w:rPr>
          <w:rFonts w:ascii="Arial" w:hAnsi="Arial" w:cs="Arial"/>
        </w:rPr>
        <w:t>со следните ознаки</w:t>
      </w:r>
      <w:r w:rsidR="008A4437" w:rsidRPr="00C81483">
        <w:rPr>
          <w:rFonts w:ascii="Arial" w:hAnsi="Arial" w:cs="Arial"/>
          <w:lang w:val="ru-RU"/>
        </w:rPr>
        <w:t>:</w:t>
      </w:r>
    </w:p>
    <w:p w:rsidR="008A4437" w:rsidRDefault="008A4437" w:rsidP="008A4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11163" w:type="dxa"/>
        <w:tblLook w:val="04A0"/>
      </w:tblPr>
      <w:tblGrid>
        <w:gridCol w:w="900"/>
        <w:gridCol w:w="826"/>
        <w:gridCol w:w="1670"/>
        <w:gridCol w:w="398"/>
        <w:gridCol w:w="806"/>
        <w:gridCol w:w="803"/>
        <w:gridCol w:w="1109"/>
        <w:gridCol w:w="1572"/>
        <w:gridCol w:w="1547"/>
        <w:gridCol w:w="1532"/>
      </w:tblGrid>
      <w:tr w:rsidR="008A4437" w:rsidTr="008A4437">
        <w:trPr>
          <w:trHeight w:val="316"/>
        </w:trPr>
        <w:tc>
          <w:tcPr>
            <w:tcW w:w="11163" w:type="dxa"/>
            <w:gridSpan w:val="10"/>
          </w:tcPr>
          <w:p w:rsidR="008A4437" w:rsidRPr="00497CD5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7CD5">
              <w:rPr>
                <w:rFonts w:ascii="Arial" w:hAnsi="Arial" w:cs="Arial"/>
                <w:sz w:val="16"/>
                <w:szCs w:val="16"/>
                <w:lang w:val="ru-RU"/>
              </w:rPr>
              <w:t>ЛИСТ Б</w:t>
            </w:r>
            <w:r w:rsidRPr="00497CD5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497CD5">
              <w:rPr>
                <w:rFonts w:ascii="Arial" w:hAnsi="Arial" w:cs="Arial"/>
                <w:sz w:val="16"/>
                <w:szCs w:val="16"/>
              </w:rPr>
              <w:t xml:space="preserve"> ПОДАТОЦИ ЗА ЗЕМЈИШТЕТО (КАТАСТАРСКА ПАРЦЕЛА ) И ЗА ПРАВО НА СОПСТВЕНОСТ</w:t>
            </w:r>
          </w:p>
        </w:tc>
      </w:tr>
      <w:tr w:rsidR="008A4437" w:rsidTr="008A4437">
        <w:trPr>
          <w:trHeight w:val="675"/>
        </w:trPr>
        <w:tc>
          <w:tcPr>
            <w:tcW w:w="1726" w:type="dxa"/>
            <w:gridSpan w:val="2"/>
            <w:tcBorders>
              <w:bottom w:val="single" w:sz="4" w:space="0" w:color="auto"/>
            </w:tcBorders>
          </w:tcPr>
          <w:p w:rsidR="008A4437" w:rsidRPr="00497CD5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7CD5">
              <w:rPr>
                <w:rFonts w:ascii="Arial" w:hAnsi="Arial" w:cs="Arial"/>
                <w:sz w:val="16"/>
                <w:szCs w:val="16"/>
                <w:lang w:val="ru-RU"/>
              </w:rPr>
              <w:t>Број на катастарска парцела</w:t>
            </w:r>
          </w:p>
          <w:p w:rsidR="008A4437" w:rsidRPr="00497CD5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670" w:type="dxa"/>
            <w:vMerge w:val="restart"/>
          </w:tcPr>
          <w:p w:rsidR="008A4437" w:rsidRPr="00497CD5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7CD5">
              <w:rPr>
                <w:rFonts w:ascii="Arial" w:hAnsi="Arial" w:cs="Arial"/>
                <w:sz w:val="16"/>
                <w:szCs w:val="16"/>
                <w:lang w:val="ru-RU"/>
              </w:rPr>
              <w:t>Виканао место</w:t>
            </w:r>
          </w:p>
        </w:tc>
        <w:tc>
          <w:tcPr>
            <w:tcW w:w="2007" w:type="dxa"/>
            <w:gridSpan w:val="3"/>
            <w:tcBorders>
              <w:bottom w:val="single" w:sz="4" w:space="0" w:color="auto"/>
            </w:tcBorders>
          </w:tcPr>
          <w:p w:rsidR="008A4437" w:rsidRPr="00497CD5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7CD5">
              <w:rPr>
                <w:rFonts w:ascii="Arial" w:hAnsi="Arial" w:cs="Arial"/>
                <w:sz w:val="16"/>
                <w:szCs w:val="16"/>
                <w:lang w:val="ru-RU"/>
              </w:rPr>
              <w:t>катастарска</w:t>
            </w:r>
          </w:p>
        </w:tc>
        <w:tc>
          <w:tcPr>
            <w:tcW w:w="1109" w:type="dxa"/>
            <w:vMerge w:val="restart"/>
          </w:tcPr>
          <w:p w:rsidR="008A4437" w:rsidRPr="00497CD5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7CD5">
              <w:rPr>
                <w:rFonts w:ascii="Arial" w:hAnsi="Arial" w:cs="Arial"/>
                <w:sz w:val="16"/>
                <w:szCs w:val="16"/>
                <w:lang w:val="ru-RU"/>
              </w:rPr>
              <w:t>Површина во м2</w:t>
            </w:r>
          </w:p>
        </w:tc>
        <w:tc>
          <w:tcPr>
            <w:tcW w:w="1572" w:type="dxa"/>
            <w:vMerge w:val="restart"/>
          </w:tcPr>
          <w:p w:rsidR="008A4437" w:rsidRPr="00497CD5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7CD5">
              <w:rPr>
                <w:rFonts w:ascii="Arial" w:hAnsi="Arial" w:cs="Arial"/>
                <w:sz w:val="16"/>
                <w:szCs w:val="16"/>
                <w:lang w:val="ru-RU"/>
              </w:rPr>
              <w:t>Правопревземено при конверзија на податоците од стариот ел систем</w:t>
            </w:r>
          </w:p>
        </w:tc>
        <w:tc>
          <w:tcPr>
            <w:tcW w:w="1547" w:type="dxa"/>
            <w:vMerge w:val="restart"/>
          </w:tcPr>
          <w:p w:rsidR="008A4437" w:rsidRPr="00497CD5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7CD5">
              <w:rPr>
                <w:rFonts w:ascii="Arial" w:hAnsi="Arial" w:cs="Arial"/>
                <w:sz w:val="16"/>
                <w:szCs w:val="16"/>
                <w:lang w:val="ru-RU"/>
              </w:rPr>
              <w:t>Број на предмет по кој е изврш запишувањето</w:t>
            </w:r>
          </w:p>
        </w:tc>
        <w:tc>
          <w:tcPr>
            <w:tcW w:w="1532" w:type="dxa"/>
            <w:vMerge w:val="restart"/>
          </w:tcPr>
          <w:p w:rsidR="008A4437" w:rsidRPr="00497CD5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7CD5">
              <w:rPr>
                <w:rFonts w:ascii="Arial" w:hAnsi="Arial" w:cs="Arial"/>
                <w:sz w:val="16"/>
                <w:szCs w:val="16"/>
                <w:lang w:val="ru-RU"/>
              </w:rPr>
              <w:t>Датум и час на запишувањет</w:t>
            </w:r>
          </w:p>
        </w:tc>
      </w:tr>
      <w:tr w:rsidR="008A4437" w:rsidRPr="00497CD5" w:rsidTr="008A4437">
        <w:trPr>
          <w:trHeight w:val="34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37" w:rsidRPr="00497CD5" w:rsidRDefault="008A4437" w:rsidP="008A4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7CD5">
              <w:rPr>
                <w:rFonts w:ascii="Arial" w:hAnsi="Arial" w:cs="Arial"/>
                <w:sz w:val="16"/>
                <w:szCs w:val="16"/>
                <w:lang w:val="ru-RU"/>
              </w:rPr>
              <w:t>основен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437" w:rsidRPr="00497CD5" w:rsidRDefault="008A4437" w:rsidP="008A4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7CD5">
              <w:rPr>
                <w:rFonts w:ascii="Arial" w:hAnsi="Arial" w:cs="Arial"/>
                <w:sz w:val="16"/>
                <w:szCs w:val="16"/>
                <w:lang w:val="ru-RU"/>
              </w:rPr>
              <w:t>дел</w:t>
            </w:r>
          </w:p>
        </w:tc>
        <w:tc>
          <w:tcPr>
            <w:tcW w:w="1670" w:type="dxa"/>
            <w:vMerge/>
          </w:tcPr>
          <w:p w:rsidR="008A4437" w:rsidRPr="00497CD5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4437" w:rsidRPr="00497CD5" w:rsidRDefault="008A4437" w:rsidP="008A4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7CD5">
              <w:rPr>
                <w:rFonts w:ascii="Arial" w:hAnsi="Arial" w:cs="Arial"/>
                <w:sz w:val="16"/>
                <w:szCs w:val="16"/>
                <w:lang w:val="ru-RU"/>
              </w:rPr>
              <w:t>култура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8A4437" w:rsidRPr="00497CD5" w:rsidRDefault="008A4437" w:rsidP="008A4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7CD5">
              <w:rPr>
                <w:rFonts w:ascii="Arial" w:hAnsi="Arial" w:cs="Arial"/>
                <w:sz w:val="16"/>
                <w:szCs w:val="16"/>
                <w:lang w:val="ru-RU"/>
              </w:rPr>
              <w:t>класа</w:t>
            </w:r>
          </w:p>
        </w:tc>
        <w:tc>
          <w:tcPr>
            <w:tcW w:w="1109" w:type="dxa"/>
            <w:vMerge/>
          </w:tcPr>
          <w:p w:rsidR="008A4437" w:rsidRPr="00497CD5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572" w:type="dxa"/>
            <w:vMerge/>
          </w:tcPr>
          <w:p w:rsidR="008A4437" w:rsidRPr="00497CD5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547" w:type="dxa"/>
            <w:vMerge/>
          </w:tcPr>
          <w:p w:rsidR="008A4437" w:rsidRPr="00497CD5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532" w:type="dxa"/>
            <w:vMerge/>
          </w:tcPr>
          <w:p w:rsidR="008A4437" w:rsidRPr="00497CD5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A4437" w:rsidTr="008A4437">
        <w:trPr>
          <w:trHeight w:val="297"/>
        </w:trPr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8A4437" w:rsidRPr="00E75409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8A4437" w:rsidRPr="00E75409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1670" w:type="dxa"/>
          </w:tcPr>
          <w:p w:rsidR="008A4437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јурија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8A4437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8A4437" w:rsidRPr="00E75409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11000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A4437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09" w:type="dxa"/>
          </w:tcPr>
          <w:p w:rsidR="008A4437" w:rsidRPr="00E75409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363</w:t>
            </w:r>
          </w:p>
        </w:tc>
        <w:tc>
          <w:tcPr>
            <w:tcW w:w="1572" w:type="dxa"/>
          </w:tcPr>
          <w:p w:rsidR="008A4437" w:rsidRPr="00E75409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75409">
              <w:rPr>
                <w:rFonts w:ascii="Arial" w:hAnsi="Arial" w:cs="Arial"/>
                <w:sz w:val="16"/>
                <w:szCs w:val="16"/>
                <w:lang w:val="ru-RU"/>
              </w:rPr>
              <w:t>83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547" w:type="dxa"/>
          </w:tcPr>
          <w:p w:rsidR="008A4437" w:rsidRPr="00CE5B16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351/2017</w:t>
            </w:r>
          </w:p>
        </w:tc>
        <w:tc>
          <w:tcPr>
            <w:tcW w:w="1532" w:type="dxa"/>
          </w:tcPr>
          <w:p w:rsidR="008A4437" w:rsidRPr="00CE5B16" w:rsidRDefault="008A4437" w:rsidP="008A4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E5B16">
              <w:rPr>
                <w:rFonts w:ascii="Arial" w:hAnsi="Arial" w:cs="Arial"/>
                <w:sz w:val="16"/>
                <w:szCs w:val="16"/>
                <w:lang w:val="ru-RU"/>
              </w:rPr>
              <w:t>23.0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  <w:r w:rsidRPr="00CE5B16">
              <w:rPr>
                <w:rFonts w:ascii="Arial" w:hAnsi="Arial" w:cs="Arial"/>
                <w:sz w:val="16"/>
                <w:szCs w:val="16"/>
                <w:lang w:val="ru-RU"/>
              </w:rPr>
              <w:t>.201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7 </w:t>
            </w:r>
          </w:p>
        </w:tc>
      </w:tr>
    </w:tbl>
    <w:p w:rsidR="008A4437" w:rsidRDefault="008A4437" w:rsidP="008A4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сопственост на должникот </w:t>
      </w:r>
      <w:r w:rsidR="008A4437">
        <w:rPr>
          <w:rFonts w:ascii="Arial" w:eastAsia="Times New Roman" w:hAnsi="Arial" w:cs="Arial"/>
        </w:rPr>
        <w:t>Тања Штоффел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A4437" w:rsidRPr="00BC79AC">
        <w:rPr>
          <w:rFonts w:ascii="Arial" w:eastAsia="Times New Roman" w:hAnsi="Arial" w:cs="Arial"/>
          <w:b/>
          <w:lang w:val="ru-RU"/>
        </w:rPr>
        <w:t>26.01.2021</w:t>
      </w:r>
      <w:r w:rsidR="008A4437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година во </w:t>
      </w:r>
      <w:r w:rsidR="008A4437" w:rsidRPr="00BC79AC">
        <w:rPr>
          <w:rFonts w:ascii="Arial" w:eastAsia="Times New Roman" w:hAnsi="Arial" w:cs="Arial"/>
          <w:b/>
          <w:lang w:val="ru-RU"/>
        </w:rPr>
        <w:t xml:space="preserve">12.00 </w:t>
      </w:r>
      <w:r w:rsidRPr="00BC79AC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8A4437">
        <w:rPr>
          <w:rFonts w:ascii="Arial" w:eastAsia="Times New Roman" w:hAnsi="Arial" w:cs="Arial"/>
        </w:rPr>
        <w:t xml:space="preserve">Извршител Павел Томашевски на </w:t>
      </w:r>
      <w:r w:rsidR="008A4437" w:rsidRPr="008A4437">
        <w:rPr>
          <w:rFonts w:ascii="Arial" w:eastAsia="Times New Roman" w:hAnsi="Arial" w:cs="Arial"/>
          <w:lang w:val="en-US"/>
        </w:rPr>
        <w:t xml:space="preserve">ул.11 </w:t>
      </w:r>
      <w:proofErr w:type="spellStart"/>
      <w:r w:rsidR="008A4437" w:rsidRPr="008A4437">
        <w:rPr>
          <w:rFonts w:ascii="Arial" w:eastAsia="Times New Roman" w:hAnsi="Arial" w:cs="Arial"/>
          <w:lang w:val="en-US"/>
        </w:rPr>
        <w:t>Октомври</w:t>
      </w:r>
      <w:proofErr w:type="spellEnd"/>
      <w:r w:rsidR="008A4437" w:rsidRPr="008A4437">
        <w:rPr>
          <w:rFonts w:ascii="Arial" w:eastAsia="Times New Roman" w:hAnsi="Arial" w:cs="Arial"/>
          <w:lang w:val="en-US"/>
        </w:rPr>
        <w:t xml:space="preserve"> бр.23А-2/4</w:t>
      </w:r>
      <w:r w:rsidRPr="008A4437">
        <w:rPr>
          <w:rFonts w:ascii="Arial" w:eastAsia="Times New Roman" w:hAnsi="Arial" w:cs="Arial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C79AC">
        <w:rPr>
          <w:rFonts w:ascii="Arial" w:eastAsia="Times New Roman" w:hAnsi="Arial" w:cs="Arial"/>
          <w:b/>
        </w:rPr>
        <w:t>Почетната вредност на недвижноста</w:t>
      </w:r>
      <w:r w:rsidRPr="00211393">
        <w:rPr>
          <w:rFonts w:ascii="Arial" w:eastAsia="Times New Roman" w:hAnsi="Arial" w:cs="Arial"/>
        </w:rPr>
        <w:t xml:space="preserve">, утврдена со заклучок на извршителот </w:t>
      </w:r>
      <w:r w:rsidR="00BC79AC">
        <w:rPr>
          <w:rFonts w:ascii="Arial" w:eastAsia="Times New Roman" w:hAnsi="Arial" w:cs="Arial"/>
          <w:lang w:val="ru-RU"/>
        </w:rPr>
        <w:t>Павел Томашевски</w:t>
      </w:r>
      <w:r w:rsidRPr="00211393">
        <w:rPr>
          <w:rFonts w:ascii="Arial" w:eastAsia="Times New Roman" w:hAnsi="Arial" w:cs="Arial"/>
        </w:rPr>
        <w:t xml:space="preserve">,  изнесува </w:t>
      </w:r>
      <w:r w:rsidR="008A4437" w:rsidRPr="00BC79AC">
        <w:rPr>
          <w:rFonts w:ascii="Arial" w:eastAsia="Times New Roman" w:hAnsi="Arial" w:cs="Arial"/>
          <w:b/>
          <w:lang w:val="ru-RU"/>
        </w:rPr>
        <w:t xml:space="preserve">544.500,00 </w:t>
      </w:r>
      <w:r w:rsidRPr="00BC79AC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BC79AC">
        <w:rPr>
          <w:rFonts w:ascii="Arial" w:eastAsia="Times New Roman" w:hAnsi="Arial" w:cs="Arial"/>
          <w:lang w:val="ru-RU"/>
        </w:rPr>
        <w:t>Налог за извршување чл.166 на Извршител Павел Томашевски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C79A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  <w:r w:rsidR="00BC79AC"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BC79AC" w:rsidRPr="00211393">
        <w:rPr>
          <w:rFonts w:ascii="Arial" w:eastAsia="Times New Roman" w:hAnsi="Arial" w:cs="Arial"/>
          <w:lang w:val="ru-RU"/>
        </w:rPr>
        <w:t xml:space="preserve"> </w:t>
      </w:r>
      <w:r w:rsidR="00BC79AC">
        <w:rPr>
          <w:rFonts w:ascii="Arial" w:eastAsia="Times New Roman" w:hAnsi="Arial" w:cs="Arial"/>
          <w:lang w:val="ru-RU"/>
        </w:rPr>
        <w:t xml:space="preserve">250015000107465 </w:t>
      </w:r>
      <w:r w:rsidR="00BC79AC" w:rsidRPr="00211393">
        <w:rPr>
          <w:rFonts w:ascii="Arial" w:eastAsia="Times New Roman" w:hAnsi="Arial" w:cs="Arial"/>
        </w:rPr>
        <w:t xml:space="preserve">која се води кај </w:t>
      </w:r>
      <w:r w:rsidR="00BC79AC">
        <w:rPr>
          <w:rFonts w:ascii="Arial" w:eastAsia="Times New Roman" w:hAnsi="Arial" w:cs="Arial"/>
          <w:lang w:val="ru-RU"/>
        </w:rPr>
        <w:t>Шпаркасе банка АД Скопје</w:t>
      </w:r>
      <w:r w:rsidR="00BC79AC" w:rsidRPr="00211393">
        <w:rPr>
          <w:rFonts w:ascii="Arial" w:eastAsia="Times New Roman" w:hAnsi="Arial" w:cs="Arial"/>
        </w:rPr>
        <w:t xml:space="preserve"> и даночен број </w:t>
      </w:r>
      <w:r w:rsidR="00BC79AC">
        <w:rPr>
          <w:rFonts w:ascii="Arial" w:eastAsia="Times New Roman" w:hAnsi="Arial" w:cs="Arial"/>
          <w:lang w:val="ru-RU"/>
        </w:rPr>
        <w:t>5032010500297, еден ден пред усната јавна продажба.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="008A4437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</w:t>
      </w:r>
      <w:r w:rsidRPr="00211393">
        <w:rPr>
          <w:rFonts w:ascii="Arial" w:eastAsia="Times New Roman" w:hAnsi="Arial" w:cs="Arial"/>
        </w:rPr>
        <w:lastRenderedPageBreak/>
        <w:t xml:space="preserve">извршувањето.Овој заклучок ќе се објави во следните средства за јавно информирање </w:t>
      </w:r>
      <w:r w:rsidR="00BC79AC">
        <w:rPr>
          <w:rFonts w:ascii="Arial" w:eastAsia="Times New Roman" w:hAnsi="Arial" w:cs="Arial"/>
        </w:rPr>
        <w:t xml:space="preserve">дневен </w:t>
      </w:r>
      <w:r w:rsidR="008A4437">
        <w:rPr>
          <w:rFonts w:ascii="Arial" w:eastAsia="Times New Roman" w:hAnsi="Arial" w:cs="Arial"/>
          <w:lang w:val="ru-RU"/>
        </w:rPr>
        <w:t>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8A4437">
        <w:trPr>
          <w:trHeight w:val="851"/>
        </w:trPr>
        <w:tc>
          <w:tcPr>
            <w:tcW w:w="4297" w:type="dxa"/>
          </w:tcPr>
          <w:p w:rsidR="00823825" w:rsidRPr="000406D7" w:rsidRDefault="008A4437" w:rsidP="008A443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437" w:rsidRDefault="008A4437" w:rsidP="008A4437">
      <w:pPr>
        <w:spacing w:after="0" w:line="240" w:lineRule="auto"/>
      </w:pPr>
      <w:r>
        <w:separator/>
      </w:r>
    </w:p>
  </w:endnote>
  <w:endnote w:type="continuationSeparator" w:id="1">
    <w:p w:rsidR="008A4437" w:rsidRDefault="008A4437" w:rsidP="008A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37" w:rsidRPr="008A4437" w:rsidRDefault="008A4437" w:rsidP="008A443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30B63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437" w:rsidRDefault="008A4437" w:rsidP="008A4437">
      <w:pPr>
        <w:spacing w:after="0" w:line="240" w:lineRule="auto"/>
      </w:pPr>
      <w:r>
        <w:separator/>
      </w:r>
    </w:p>
  </w:footnote>
  <w:footnote w:type="continuationSeparator" w:id="1">
    <w:p w:rsidR="008A4437" w:rsidRDefault="008A4437" w:rsidP="008A4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A4437"/>
    <w:rsid w:val="008C43A1"/>
    <w:rsid w:val="00913EF8"/>
    <w:rsid w:val="00926A7A"/>
    <w:rsid w:val="009626C8"/>
    <w:rsid w:val="00990882"/>
    <w:rsid w:val="00A6645E"/>
    <w:rsid w:val="00AE3FFA"/>
    <w:rsid w:val="00B20C15"/>
    <w:rsid w:val="00B269ED"/>
    <w:rsid w:val="00B41890"/>
    <w:rsid w:val="00B51157"/>
    <w:rsid w:val="00B62603"/>
    <w:rsid w:val="00BC5E22"/>
    <w:rsid w:val="00BC79AC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E4E3C"/>
    <w:rsid w:val="00EF46AF"/>
    <w:rsid w:val="00F23081"/>
    <w:rsid w:val="00F30B63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A4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4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A4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437"/>
    <w:rPr>
      <w:sz w:val="22"/>
      <w:szCs w:val="22"/>
      <w:lang w:eastAsia="en-US"/>
    </w:rPr>
  </w:style>
  <w:style w:type="table" w:styleId="TableGrid">
    <w:name w:val="Table Grid"/>
    <w:basedOn w:val="TableNormal"/>
    <w:rsid w:val="008A44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ah3KBF3v6S9OUjobzY8wNUS2VjI=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DgQA4szbCfx8CYC07an5WfcEKkQ0x1gYq079b1A367nUA6wv0Xm2MGSCv5simpg2coN87t20
    xmKrfyiZebq9c0Uk266f82ius+SbL0Y0HIGrLqd/HNixmvc3rNqLgHoj4y4rPJrErmCsS+yi
    6nQD4WSApMYvnX/Vh6YfLSPCQGiHSk71x4fxEdqbr9X5VPP/xcO/Zjk6RA9hXwY8Uo0S/wJd
    ICIO05c0YK+I+A+I0LAn91T9CfXBb6IH4VI+zZ07RWlFbwkAwcGU1BscY0beerVI762wm9DV
    Gsi3x+z166L8OYlJ/KGgrDAjTZWmoi0cZFEjd/Mk0Oc1LQFIutMv3w==
  </SignatureValue>
  <KeyInfo>
    <KeyValue>
      <RSAKeyValue>
        <Modulus>
            oTidRgOOqu93+T8LST1TmCGEQhjsq2tGOOjNZTteP+adYQV5edRB5Olrb0YR7wgu10kZmfE4
            FBU0CMQIeKFHs8mu/8AqxDNi+rCAxWkBXTFDHklRiL59fN2zXIZ7VsbIri8vfyv+gDdZ/A/4
            QakdpEiMLM20lQjUoQ1KOVR+690kzSThOrhtY5sNbm9Azli5jh+LkHibtL2fWcb8yIFvxuue
            +d4W0emAz+LosFxi8nhVxjEsDg2MyZzi6EkKVqmM91wlE1esa8J+S1s2KPgw6N12dUF1t0c+
            77yd16kCptvxCXDhVsElRBfUJYTcMXa4vIMqxXXkILXLL5cdZzuFIQ==
          </Modulus>
        <Exponent>AQAB</Exponent>
      </RSAKeyValue>
    </KeyValue>
    <X509Data>
      <X509Certificate>
          MIIF3zCCBMegAwIBAgIQK2Bj10MDRH9N0W9D0KiROjANBgkqhkiG9w0BAQsFADCBsTELMAkG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ZSBTZXJ2aWNlczAeFw0yMDA3MjcwMDAwMDBaFw0yMzA3MjcyMzU5NTlaMIGlMSQwIgYDVQQK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BgkqhkiG9w0BAQEFAAOCAQ8AMIIBCgKCAQEAoTidRgOOqu93+T8LST1TmCGEQhjsq2tGOOjN
          ZTteP+adYQV5edRB5Olrb0YR7wgu10kZmfE4FBU0CMQIeKFHs8mu/8AqxDNi+rCAxWkBXTFD
          HklRiL59fN2zXIZ7VsbIri8vfyv+gDdZ/A/4QakdpEiMLM20lQjUoQ1KOVR+690kzSThOrht
          Y5sNbm9Azli5jh+LkHibtL2fWcb8yIFvxuue+d4W0emAz+LosFxi8nhVxjEsDg2MyZzi6EkK
          VqmM91wlE1esa8J+S1s2KPgw6N12dUF1t0c+77yd16kCptvxCXDhVsElRBfUJYTcMXa4vIMq
          xXXkILXLL5cdZzuFIQIDAQABo4IB+zCCAfcwCQYDVR0TBAIwADCB9gYDVR0gBIHuMIHrMEMG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dC5tay9WZXJiYVEuY3JsMAsGA1UdDwQEAwIE8DAdBgNVHQ4EFgQUUr0/Et85oLM16EIQu9v7
          isDh9LIwHwYDVR0jBBgwFoAUPaKV8+4jQmPbqKqVShJbKBd3sMswKQYDVR0lBCIwIAYIKwYB
          BQUHAwIGCCsGAQUFBwMEBgorBgEEAYI3FAICMCoGA1UdEQQjMCGBH3BhdmVsLnRvbWFzaGV2
          c2tpQGl6dnJzaXRlbC5jb20wGAYIKwYBBQUHAQMEDDAKMAgGBgQAjkYBATANBgkqhkiG9w0B
          AQsFAAOCAQEAp40Ufqux+GZrzpUXrQUfwNqUx5IGxf0SdD4fMJz6Nb2t7S7LLQXoPMwgIjHi
          pVbsfG6HtSRyzJfTrpZFWRC07w3vc0HKod08ZU91scVklImqSTiEFqZy/fXXS4WnNJJ9tOOi
          +ZDnTu+CWtPXWZrKOmQot7PQryloLLxAF3L0JXBtgqEC/tEbSYCXG3hUXBaRSIo4O2ou8r6n
          5u/G7hWj8SYodCY9EgXCPci53AcTFDFyth0Ays/FF8qrXQXx77r59IdaDxBBSrZdqIiQBhMn
          Fz4sxITumd/J1AX0Z6Vw7z9xcm+4CnqbLvDxFaO2OSoNxuYpFB5+yPFfSNzOpbJYbQ==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ajJY61FCeY1YznB2AcQqfDd/0bE=</DigestValue>
      </Reference>
      <Reference URI="/word/endnotes.xml?ContentType=application/vnd.openxmlformats-officedocument.wordprocessingml.endnotes+xml">
        <DigestMethod Algorithm="http://www.w3.org/2000/09/xmldsig#sha1"/>
        <DigestValue>0G6hwbG2j1gAWVR3uFMpgvtyqwc=</DigestValue>
      </Reference>
      <Reference URI="/word/fontTable.xml?ContentType=application/vnd.openxmlformats-officedocument.wordprocessingml.fontTable+xml">
        <DigestMethod Algorithm="http://www.w3.org/2000/09/xmldsig#sha1"/>
        <DigestValue>aOhXHy+l0C+KSIWx7KQYxHSPvxM=</DigestValue>
      </Reference>
      <Reference URI="/word/footer1.xml?ContentType=application/vnd.openxmlformats-officedocument.wordprocessingml.footer+xml">
        <DigestMethod Algorithm="http://www.w3.org/2000/09/xmldsig#sha1"/>
        <DigestValue>1MQ/k9jURvxG8nMapim3yn0dET8=</DigestValue>
      </Reference>
      <Reference URI="/word/footnotes.xml?ContentType=application/vnd.openxmlformats-officedocument.wordprocessingml.footnotes+xml">
        <DigestMethod Algorithm="http://www.w3.org/2000/09/xmldsig#sha1"/>
        <DigestValue>qiHd3XKhxJ3PCI81C0HVquasdyU=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settings.xml?ContentType=application/vnd.openxmlformats-officedocument.wordprocessingml.settings+xml">
        <DigestMethod Algorithm="http://www.w3.org/2000/09/xmldsig#sha1"/>
        <DigestValue>EhV2cJLI9McOsY2B+9BifpwJlrE=</DigestValue>
      </Reference>
      <Reference URI="/word/styles.xml?ContentType=application/vnd.openxmlformats-officedocument.wordprocessingml.styles+xml">
        <DigestMethod Algorithm="http://www.w3.org/2000/09/xmldsig#sha1"/>
        <DigestValue>4WYF1Z0uDXzvsBl2RSrumuMUCYs=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2020-12-29T07:33:46Z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4</cp:revision>
  <dcterms:created xsi:type="dcterms:W3CDTF">2020-12-29T07:05:00Z</dcterms:created>
  <dcterms:modified xsi:type="dcterms:W3CDTF">2020-12-29T07:33:00Z</dcterms:modified>
</cp:coreProperties>
</file>