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523"/>
        <w:gridCol w:w="1685"/>
        <w:gridCol w:w="2632"/>
      </w:tblGrid>
      <w:tr w:rsidR="00CC76C8" w:rsidRPr="00E32DFC" w:rsidTr="00CC76C8">
        <w:tc>
          <w:tcPr>
            <w:tcW w:w="5544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28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  <w:hideMark/>
          </w:tcPr>
          <w:p w:rsidR="00CC76C8" w:rsidRPr="00E32DFC" w:rsidRDefault="00CC76C8">
            <w:pPr>
              <w:tabs>
                <w:tab w:val="center" w:pos="2268"/>
              </w:tabs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32DFC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И.бр.216/2022</w:t>
            </w:r>
          </w:p>
        </w:tc>
        <w:tc>
          <w:tcPr>
            <w:tcW w:w="2673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76C8" w:rsidRPr="00E32DFC" w:rsidTr="00CC76C8">
        <w:tc>
          <w:tcPr>
            <w:tcW w:w="5544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551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673" w:type="dxa"/>
          </w:tcPr>
          <w:p w:rsidR="00CC76C8" w:rsidRPr="00E32DFC" w:rsidRDefault="00CC76C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C76C8" w:rsidRPr="00E32DFC" w:rsidRDefault="00CC76C8" w:rsidP="00CC76C8">
      <w:pPr>
        <w:pStyle w:val="NoSpacing"/>
        <w:jc w:val="center"/>
        <w:rPr>
          <w:rFonts w:ascii="Arial" w:hAnsi="Arial" w:cs="Arial"/>
          <w:b/>
        </w:rPr>
      </w:pPr>
      <w:r w:rsidRPr="00E32DFC">
        <w:rPr>
          <w:rFonts w:ascii="Arial" w:hAnsi="Arial" w:cs="Arial"/>
          <w:b/>
        </w:rPr>
        <w:t>ЈАВНА ОБЈАВА</w:t>
      </w:r>
    </w:p>
    <w:p w:rsidR="00CC76C8" w:rsidRPr="00E32DFC" w:rsidRDefault="00CC76C8" w:rsidP="00CC76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mk-MK" w:eastAsia="mk-MK"/>
        </w:rPr>
      </w:pPr>
      <w:r w:rsidRPr="00E32DFC">
        <w:rPr>
          <w:rFonts w:ascii="Arial" w:hAnsi="Arial" w:cs="Arial"/>
          <w:b/>
          <w:bCs/>
          <w:sz w:val="22"/>
          <w:szCs w:val="22"/>
          <w:lang w:val="mk-MK" w:eastAsia="mk-MK"/>
        </w:rPr>
        <w:t>(врз основа на член 48 од Законот за извршување, Сл. Весник бр. 72 од 12.04.2016 и Закон за изменување</w:t>
      </w:r>
    </w:p>
    <w:p w:rsidR="00CC76C8" w:rsidRPr="00E32DFC" w:rsidRDefault="00CC76C8" w:rsidP="00CC76C8">
      <w:pPr>
        <w:pStyle w:val="NoSpacing"/>
        <w:jc w:val="center"/>
        <w:rPr>
          <w:rFonts w:ascii="Arial" w:hAnsi="Arial" w:cs="Arial"/>
          <w:b/>
        </w:rPr>
      </w:pPr>
      <w:r w:rsidRPr="00E32DFC">
        <w:rPr>
          <w:rFonts w:ascii="Arial" w:hAnsi="Arial" w:cs="Arial"/>
          <w:b/>
          <w:bCs/>
        </w:rPr>
        <w:t>и дополнување на законот за извршување С.Весник бр.233 од 20.12.2018 година</w:t>
      </w:r>
      <w:r w:rsidRPr="00E32DFC">
        <w:rPr>
          <w:rFonts w:ascii="Arial" w:hAnsi="Arial" w:cs="Arial"/>
          <w:b/>
        </w:rPr>
        <w:t>)</w:t>
      </w:r>
    </w:p>
    <w:p w:rsidR="00CC76C8" w:rsidRPr="00E32DFC" w:rsidRDefault="00CC76C8" w:rsidP="00CC76C8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CC76C8" w:rsidRPr="00E32DFC" w:rsidRDefault="00CC76C8" w:rsidP="00CC76C8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proofErr w:type="spellStart"/>
      <w:r w:rsidRPr="00E32DFC">
        <w:rPr>
          <w:rFonts w:ascii="Arial" w:hAnsi="Arial" w:cs="Arial"/>
          <w:sz w:val="22"/>
          <w:szCs w:val="22"/>
        </w:rPr>
        <w:t>Извршителот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0" w:name="Izvrsitel"/>
      <w:bookmarkEnd w:id="0"/>
      <w:proofErr w:type="spellStart"/>
      <w:r w:rsidRPr="00E32DFC">
        <w:rPr>
          <w:rFonts w:ascii="Arial" w:hAnsi="Arial" w:cs="Arial"/>
          <w:sz w:val="22"/>
          <w:szCs w:val="22"/>
        </w:rPr>
        <w:t>Никола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Богатинов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1" w:name="Adresa"/>
      <w:bookmarkEnd w:id="1"/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2DFC">
        <w:rPr>
          <w:rFonts w:ascii="Arial" w:hAnsi="Arial" w:cs="Arial"/>
          <w:sz w:val="22"/>
          <w:szCs w:val="22"/>
        </w:rPr>
        <w:t>ул.Даме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Груев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бр</w:t>
      </w:r>
      <w:proofErr w:type="spellEnd"/>
      <w:r w:rsidRPr="00E32DFC">
        <w:rPr>
          <w:rFonts w:ascii="Arial" w:hAnsi="Arial" w:cs="Arial"/>
          <w:sz w:val="22"/>
          <w:szCs w:val="22"/>
        </w:rPr>
        <w:t>.</w:t>
      </w:r>
      <w:r w:rsidRPr="00E32DFC">
        <w:rPr>
          <w:rFonts w:ascii="Arial" w:hAnsi="Arial" w:cs="Arial"/>
          <w:sz w:val="22"/>
          <w:szCs w:val="22"/>
          <w:lang w:val="mk-MK"/>
        </w:rPr>
        <w:t>7</w:t>
      </w:r>
      <w:r w:rsidRPr="00E32DFC">
        <w:rPr>
          <w:rFonts w:ascii="Arial" w:hAnsi="Arial" w:cs="Arial"/>
          <w:sz w:val="22"/>
          <w:szCs w:val="22"/>
        </w:rPr>
        <w:t>/</w:t>
      </w:r>
      <w:r w:rsidRPr="00E32DFC">
        <w:rPr>
          <w:rFonts w:ascii="Arial" w:hAnsi="Arial" w:cs="Arial"/>
          <w:sz w:val="22"/>
          <w:szCs w:val="22"/>
          <w:lang w:val="mk-MK"/>
        </w:rPr>
        <w:t>8</w:t>
      </w:r>
      <w:r w:rsidRPr="00E32DFC">
        <w:rPr>
          <w:rFonts w:ascii="Arial" w:hAnsi="Arial" w:cs="Arial"/>
          <w:sz w:val="22"/>
          <w:szCs w:val="22"/>
        </w:rPr>
        <w:t>-</w:t>
      </w:r>
      <w:r w:rsidRPr="00E32DFC">
        <w:rPr>
          <w:rFonts w:ascii="Arial" w:hAnsi="Arial" w:cs="Arial"/>
          <w:sz w:val="22"/>
          <w:szCs w:val="22"/>
          <w:lang w:val="mk-MK"/>
        </w:rPr>
        <w:t>8</w:t>
      </w:r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врз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основа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барањето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за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извршување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доверителот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Жаклина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Најдановска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2" w:name="DovGrad1"/>
      <w:bookmarkEnd w:id="2"/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  <w:lang w:val="ru-RU"/>
        </w:rPr>
        <w:t xml:space="preserve"> со </w:t>
      </w:r>
      <w:proofErr w:type="spellStart"/>
      <w:r w:rsidRPr="00E32DFC">
        <w:rPr>
          <w:rFonts w:ascii="Arial" w:hAnsi="Arial" w:cs="Arial"/>
          <w:sz w:val="22"/>
          <w:szCs w:val="22"/>
        </w:rPr>
        <w:t>живеалиште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3" w:name="adresa1"/>
      <w:bookmarkEnd w:id="3"/>
      <w:proofErr w:type="spellStart"/>
      <w:r w:rsidRPr="00E32DFC">
        <w:rPr>
          <w:rFonts w:ascii="Arial" w:hAnsi="Arial" w:cs="Arial"/>
          <w:sz w:val="22"/>
          <w:szCs w:val="22"/>
        </w:rPr>
        <w:t>ул.Никола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Пушкаров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бр.10А, </w:t>
      </w:r>
      <w:proofErr w:type="spellStart"/>
      <w:r w:rsidRPr="00E32DFC">
        <w:rPr>
          <w:rFonts w:ascii="Arial" w:hAnsi="Arial" w:cs="Arial"/>
          <w:sz w:val="22"/>
          <w:szCs w:val="22"/>
        </w:rPr>
        <w:t>Ѓорче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Петров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преку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полномошник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Адвокат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Александар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Трпчевски</w:t>
      </w:r>
      <w:proofErr w:type="spellEnd"/>
      <w:proofErr w:type="gramStart"/>
      <w:r w:rsidRPr="00E32DFC">
        <w:rPr>
          <w:rFonts w:ascii="Arial" w:hAnsi="Arial" w:cs="Arial"/>
          <w:sz w:val="22"/>
          <w:szCs w:val="22"/>
          <w:lang w:val="ru-RU"/>
        </w:rPr>
        <w:t>,</w:t>
      </w:r>
      <w:r w:rsidRPr="00E32DFC">
        <w:rPr>
          <w:rFonts w:ascii="Arial" w:hAnsi="Arial" w:cs="Arial"/>
          <w:sz w:val="22"/>
          <w:szCs w:val="22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засновано</w:t>
      </w:r>
      <w:proofErr w:type="spellEnd"/>
      <w:proofErr w:type="gram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извршната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исправа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8" w:name="IzvIsprava"/>
      <w:bookmarkEnd w:id="8"/>
      <w:proofErr w:type="spellStart"/>
      <w:r w:rsidRPr="00E32DFC">
        <w:rPr>
          <w:rFonts w:ascii="Arial" w:hAnsi="Arial" w:cs="Arial"/>
          <w:sz w:val="22"/>
          <w:szCs w:val="22"/>
        </w:rPr>
        <w:t>Пресуда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20 П3-12/16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26.03.2018 </w:t>
      </w:r>
      <w:proofErr w:type="spellStart"/>
      <w:r w:rsidRPr="00E32DFC">
        <w:rPr>
          <w:rFonts w:ascii="Arial" w:hAnsi="Arial" w:cs="Arial"/>
          <w:sz w:val="22"/>
          <w:szCs w:val="22"/>
        </w:rPr>
        <w:t>година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Основен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суд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32DFC">
        <w:rPr>
          <w:rFonts w:ascii="Arial" w:hAnsi="Arial" w:cs="Arial"/>
          <w:sz w:val="22"/>
          <w:szCs w:val="22"/>
        </w:rPr>
        <w:t>против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9" w:name="Dolznik1"/>
      <w:bookmarkEnd w:id="9"/>
      <w:proofErr w:type="spellStart"/>
      <w:r w:rsidRPr="00E32DFC">
        <w:rPr>
          <w:rFonts w:ascii="Arial" w:hAnsi="Arial" w:cs="Arial"/>
          <w:sz w:val="22"/>
          <w:szCs w:val="22"/>
        </w:rPr>
        <w:t>должникот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Марјан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Најдановски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10" w:name="DolzGrad1"/>
      <w:bookmarkEnd w:id="10"/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со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bookmarkStart w:id="11" w:name="opis_edb1_dolz"/>
      <w:bookmarkEnd w:id="11"/>
      <w:r w:rsidRPr="00E32DFC">
        <w:rPr>
          <w:rFonts w:ascii="Arial" w:hAnsi="Arial" w:cs="Arial"/>
          <w:sz w:val="22"/>
          <w:szCs w:val="22"/>
          <w:lang w:val="ru-RU"/>
        </w:rPr>
        <w:t>живеалиште на</w:t>
      </w:r>
      <w:r w:rsidRPr="00E32DFC">
        <w:rPr>
          <w:rFonts w:ascii="Arial" w:hAnsi="Arial" w:cs="Arial"/>
          <w:sz w:val="22"/>
          <w:szCs w:val="22"/>
        </w:rPr>
        <w:t xml:space="preserve"> </w:t>
      </w:r>
      <w:bookmarkStart w:id="12" w:name="adresa1_dolz"/>
      <w:bookmarkEnd w:id="12"/>
      <w:proofErr w:type="spellStart"/>
      <w:r w:rsidRPr="00E32DFC">
        <w:rPr>
          <w:rFonts w:ascii="Arial" w:hAnsi="Arial" w:cs="Arial"/>
          <w:sz w:val="22"/>
          <w:szCs w:val="22"/>
        </w:rPr>
        <w:t>ул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32DFC">
        <w:rPr>
          <w:rFonts w:ascii="Arial" w:hAnsi="Arial" w:cs="Arial"/>
          <w:sz w:val="22"/>
          <w:szCs w:val="22"/>
        </w:rPr>
        <w:t>Никола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Пушкаров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бр</w:t>
      </w:r>
      <w:proofErr w:type="spellEnd"/>
      <w:r w:rsidRPr="00E32DFC">
        <w:rPr>
          <w:rFonts w:ascii="Arial" w:hAnsi="Arial" w:cs="Arial"/>
          <w:sz w:val="22"/>
          <w:szCs w:val="22"/>
        </w:rPr>
        <w:t>.</w:t>
      </w:r>
      <w:proofErr w:type="gramEnd"/>
      <w:r w:rsidRPr="00E32DFC">
        <w:rPr>
          <w:rFonts w:ascii="Arial" w:hAnsi="Arial" w:cs="Arial"/>
          <w:sz w:val="22"/>
          <w:szCs w:val="22"/>
        </w:rPr>
        <w:t xml:space="preserve"> 10А, </w:t>
      </w:r>
      <w:proofErr w:type="spellStart"/>
      <w:r w:rsidRPr="00E32DFC">
        <w:rPr>
          <w:rFonts w:ascii="Arial" w:hAnsi="Arial" w:cs="Arial"/>
          <w:sz w:val="22"/>
          <w:szCs w:val="22"/>
        </w:rPr>
        <w:t>Ѓорче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Петров</w:t>
      </w:r>
      <w:proofErr w:type="spellEnd"/>
      <w:r w:rsidRPr="00E32DFC">
        <w:rPr>
          <w:rFonts w:ascii="Arial" w:hAnsi="Arial" w:cs="Arial"/>
          <w:sz w:val="22"/>
          <w:szCs w:val="22"/>
          <w:lang w:val="mk-MK"/>
        </w:rPr>
        <w:t xml:space="preserve">, </w:t>
      </w:r>
      <w:r w:rsidRPr="00E32DFC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E32DFC">
        <w:rPr>
          <w:rFonts w:ascii="Arial" w:hAnsi="Arial" w:cs="Arial"/>
          <w:sz w:val="22"/>
          <w:szCs w:val="22"/>
        </w:rPr>
        <w:t>се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однесува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за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доставување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r w:rsidRPr="00E32DFC">
        <w:rPr>
          <w:rFonts w:ascii="Arial" w:hAnsi="Arial" w:cs="Arial"/>
          <w:sz w:val="22"/>
          <w:szCs w:val="22"/>
          <w:lang w:val="mk-MK"/>
        </w:rPr>
        <w:t xml:space="preserve">Решение ППНИ бр.107/2022 од 29.09.2022 година на Основен суд во Охрид и известување за попис на недвижност согласно член 239-а од ЗИ, </w:t>
      </w:r>
      <w:r w:rsidRPr="00E32DFC">
        <w:rPr>
          <w:rFonts w:ascii="Arial" w:hAnsi="Arial" w:cs="Arial"/>
          <w:b/>
          <w:sz w:val="22"/>
          <w:szCs w:val="22"/>
          <w:lang w:val="mk-MK"/>
        </w:rPr>
        <w:t xml:space="preserve">на ден 28.11.2023 година </w:t>
      </w:r>
      <w:r w:rsidRPr="00E32DFC">
        <w:rPr>
          <w:rFonts w:ascii="Arial" w:hAnsi="Arial" w:cs="Arial"/>
          <w:sz w:val="22"/>
          <w:szCs w:val="22"/>
          <w:lang w:val="mk-MK"/>
        </w:rPr>
        <w:t xml:space="preserve">го </w:t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</w:p>
    <w:p w:rsidR="00CC76C8" w:rsidRPr="00E32DFC" w:rsidRDefault="00CC76C8" w:rsidP="00CC76C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CC76C8" w:rsidRPr="00E32DFC" w:rsidRDefault="00CC76C8" w:rsidP="00CC76C8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:rsidR="00CC76C8" w:rsidRPr="00E32DFC" w:rsidRDefault="00CC76C8" w:rsidP="00CC76C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sz w:val="22"/>
          <w:szCs w:val="22"/>
          <w:lang w:val="mk-MK"/>
        </w:rPr>
        <w:t xml:space="preserve">должникот </w:t>
      </w:r>
      <w:proofErr w:type="spellStart"/>
      <w:r w:rsidRPr="00E32DFC">
        <w:rPr>
          <w:rFonts w:ascii="Arial" w:hAnsi="Arial" w:cs="Arial"/>
          <w:sz w:val="22"/>
          <w:szCs w:val="22"/>
        </w:rPr>
        <w:t>Марјан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Најдановски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со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живеалиште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ул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32DFC">
        <w:rPr>
          <w:rFonts w:ascii="Arial" w:hAnsi="Arial" w:cs="Arial"/>
          <w:sz w:val="22"/>
          <w:szCs w:val="22"/>
        </w:rPr>
        <w:t>Никола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Пушкаров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бр</w:t>
      </w:r>
      <w:proofErr w:type="spellEnd"/>
      <w:r w:rsidRPr="00E32DFC">
        <w:rPr>
          <w:rFonts w:ascii="Arial" w:hAnsi="Arial" w:cs="Arial"/>
          <w:sz w:val="22"/>
          <w:szCs w:val="22"/>
        </w:rPr>
        <w:t>.</w:t>
      </w:r>
      <w:proofErr w:type="gramEnd"/>
      <w:r w:rsidRPr="00E32DFC">
        <w:rPr>
          <w:rFonts w:ascii="Arial" w:hAnsi="Arial" w:cs="Arial"/>
          <w:sz w:val="22"/>
          <w:szCs w:val="22"/>
        </w:rPr>
        <w:t xml:space="preserve"> 10А, </w:t>
      </w:r>
      <w:proofErr w:type="spellStart"/>
      <w:r w:rsidRPr="00E32DFC">
        <w:rPr>
          <w:rFonts w:ascii="Arial" w:hAnsi="Arial" w:cs="Arial"/>
          <w:sz w:val="22"/>
          <w:szCs w:val="22"/>
        </w:rPr>
        <w:t>Ѓорче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Петров</w:t>
      </w:r>
      <w:proofErr w:type="spellEnd"/>
      <w:r w:rsidRPr="00E32DFC">
        <w:rPr>
          <w:rFonts w:ascii="Arial" w:hAnsi="Arial" w:cs="Arial"/>
          <w:sz w:val="22"/>
          <w:szCs w:val="22"/>
          <w:lang w:val="mk-MK"/>
        </w:rPr>
        <w:t xml:space="preserve"> да се јави во канцеларијата на извршителот заради достава на Записник од  11.09.2023 год.за продажба на недвижност со усно јавно наддавање (врз основа на член 186 став (4) од ЗИ)</w:t>
      </w:r>
      <w:r w:rsidR="00CC7E9C">
        <w:rPr>
          <w:rFonts w:ascii="Arial" w:hAnsi="Arial" w:cs="Arial"/>
          <w:sz w:val="22"/>
          <w:szCs w:val="22"/>
          <w:lang w:val="mk-MK"/>
        </w:rPr>
        <w:t xml:space="preserve"> со и.бр.216/2022</w:t>
      </w:r>
      <w:r w:rsidRPr="00E32DFC">
        <w:rPr>
          <w:rFonts w:ascii="Arial" w:hAnsi="Arial" w:cs="Arial"/>
          <w:sz w:val="22"/>
          <w:szCs w:val="22"/>
          <w:lang w:val="mk-MK"/>
        </w:rPr>
        <w:t>, Заклучок за извршена продажба на недвижност (врз основа на член 186 став (6) од Законот за извршување) од 19.09.2023 година</w:t>
      </w:r>
      <w:r w:rsidR="00CC7E9C">
        <w:rPr>
          <w:rFonts w:ascii="Arial" w:hAnsi="Arial" w:cs="Arial"/>
          <w:sz w:val="22"/>
          <w:szCs w:val="22"/>
          <w:lang w:val="mk-MK"/>
        </w:rPr>
        <w:t xml:space="preserve"> </w:t>
      </w:r>
      <w:r w:rsidR="00CC7E9C" w:rsidRPr="00CC7E9C">
        <w:rPr>
          <w:rFonts w:ascii="Arial" w:hAnsi="Arial" w:cs="Arial"/>
          <w:sz w:val="22"/>
          <w:szCs w:val="22"/>
          <w:lang w:val="mk-MK"/>
        </w:rPr>
        <w:t>со и.бр.216/2022</w:t>
      </w:r>
      <w:r w:rsidRPr="00E32DFC">
        <w:rPr>
          <w:rFonts w:ascii="Arial" w:hAnsi="Arial" w:cs="Arial"/>
          <w:sz w:val="22"/>
          <w:szCs w:val="22"/>
          <w:lang w:val="mk-MK"/>
        </w:rPr>
        <w:t>, Заклучок за предавање на недвижност во владение (врз основа на член 189 став (1) од Законот за извршување) од 19.09.2023 година</w:t>
      </w:r>
      <w:r w:rsidR="00CC7E9C">
        <w:rPr>
          <w:rFonts w:ascii="Arial" w:hAnsi="Arial" w:cs="Arial"/>
          <w:sz w:val="22"/>
          <w:szCs w:val="22"/>
          <w:lang w:val="mk-MK"/>
        </w:rPr>
        <w:t xml:space="preserve"> </w:t>
      </w:r>
      <w:r w:rsidR="00CC7E9C" w:rsidRPr="00CC7E9C">
        <w:rPr>
          <w:rFonts w:ascii="Arial" w:hAnsi="Arial" w:cs="Arial"/>
          <w:sz w:val="22"/>
          <w:szCs w:val="22"/>
          <w:lang w:val="mk-MK"/>
        </w:rPr>
        <w:t>со и.бр.216/2022</w:t>
      </w:r>
      <w:bookmarkStart w:id="13" w:name="_GoBack"/>
      <w:bookmarkEnd w:id="13"/>
      <w:r w:rsidRPr="00E32DFC">
        <w:rPr>
          <w:rFonts w:ascii="Arial" w:hAnsi="Arial" w:cs="Arial"/>
          <w:sz w:val="22"/>
          <w:szCs w:val="22"/>
          <w:lang w:val="mk-MK"/>
        </w:rPr>
        <w:t>, ВО РОК ОД 1 (ЕДЕН) ДЕН, сметано од денот на објавување на ова јавно повикување во јавното гласило.</w:t>
      </w:r>
    </w:p>
    <w:p w:rsidR="00CC76C8" w:rsidRPr="00E32DFC" w:rsidRDefault="00CC76C8" w:rsidP="00CC76C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C76C8" w:rsidRPr="00E32DFC" w:rsidRDefault="00CC76C8" w:rsidP="00CC76C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E32DFC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proofErr w:type="spellStart"/>
      <w:r w:rsidRPr="00E32DFC">
        <w:rPr>
          <w:rFonts w:ascii="Arial" w:hAnsi="Arial" w:cs="Arial"/>
          <w:sz w:val="22"/>
          <w:szCs w:val="22"/>
        </w:rPr>
        <w:t>Марјан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Најдановски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од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Скопје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со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живеалиште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на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ул.Никола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Пушкаров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бр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32DFC">
        <w:rPr>
          <w:rFonts w:ascii="Arial" w:hAnsi="Arial" w:cs="Arial"/>
          <w:sz w:val="22"/>
          <w:szCs w:val="22"/>
        </w:rPr>
        <w:t xml:space="preserve">10А, </w:t>
      </w:r>
      <w:proofErr w:type="spellStart"/>
      <w:r w:rsidRPr="00E32DFC">
        <w:rPr>
          <w:rFonts w:ascii="Arial" w:hAnsi="Arial" w:cs="Arial"/>
          <w:sz w:val="22"/>
          <w:szCs w:val="22"/>
        </w:rPr>
        <w:t>Ѓорче</w:t>
      </w:r>
      <w:proofErr w:type="spellEnd"/>
      <w:r w:rsidRPr="00E32D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2DFC">
        <w:rPr>
          <w:rFonts w:ascii="Arial" w:hAnsi="Arial" w:cs="Arial"/>
          <w:sz w:val="22"/>
          <w:szCs w:val="22"/>
        </w:rPr>
        <w:t>Петров</w:t>
      </w:r>
      <w:proofErr w:type="spellEnd"/>
      <w:r w:rsidRPr="00E32DFC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  <w:proofErr w:type="gramEnd"/>
      <w:r w:rsidRPr="00E32DFC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CC76C8" w:rsidRPr="00E32DFC" w:rsidRDefault="00CC76C8" w:rsidP="00CC76C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sz w:val="22"/>
          <w:szCs w:val="22"/>
          <w:lang w:val="mk-MK"/>
        </w:rPr>
        <w:tab/>
      </w:r>
    </w:p>
    <w:p w:rsidR="00CC76C8" w:rsidRPr="00E32DFC" w:rsidRDefault="00CC76C8" w:rsidP="00CC76C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CC76C8" w:rsidRPr="00E32DFC" w:rsidRDefault="00CC76C8" w:rsidP="00CC76C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CC76C8" w:rsidRPr="00E32DFC" w:rsidRDefault="00CC76C8" w:rsidP="00E32D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32DFC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  <w:r w:rsidRPr="00E32DFC">
        <w:rPr>
          <w:rFonts w:ascii="Arial" w:hAnsi="Arial" w:cs="Arial"/>
          <w:sz w:val="22"/>
          <w:szCs w:val="22"/>
          <w:lang w:val="mk-MK"/>
        </w:rPr>
        <w:tab/>
      </w:r>
    </w:p>
    <w:p w:rsidR="00CC76C8" w:rsidRPr="00E32DFC" w:rsidRDefault="00CC76C8" w:rsidP="00CC76C8">
      <w:pPr>
        <w:rPr>
          <w:rFonts w:ascii="Arial" w:hAnsi="Arial" w:cs="Arial"/>
          <w:sz w:val="22"/>
          <w:szCs w:val="22"/>
          <w:lang w:val="mk-MK"/>
        </w:rPr>
      </w:pPr>
    </w:p>
    <w:p w:rsidR="00995233" w:rsidRPr="00E32DFC" w:rsidRDefault="00995233">
      <w:pPr>
        <w:rPr>
          <w:sz w:val="22"/>
          <w:szCs w:val="22"/>
          <w:lang w:val="mk-MK"/>
        </w:rPr>
      </w:pPr>
    </w:p>
    <w:p w:rsidR="001E07A3" w:rsidRPr="00E32DFC" w:rsidRDefault="001E07A3" w:rsidP="00995233">
      <w:pPr>
        <w:ind w:left="5760" w:firstLine="720"/>
        <w:rPr>
          <w:b/>
          <w:sz w:val="22"/>
          <w:szCs w:val="22"/>
          <w:lang w:val="mk-MK"/>
        </w:rPr>
      </w:pPr>
      <w:r w:rsidRPr="00E32DFC">
        <w:rPr>
          <w:b/>
          <w:sz w:val="22"/>
          <w:szCs w:val="22"/>
          <w:lang w:val="mk-MK"/>
        </w:rPr>
        <w:t xml:space="preserve">ИЗВРШИТЕЛ </w:t>
      </w:r>
    </w:p>
    <w:p w:rsidR="003C78E4" w:rsidRPr="00E32DFC" w:rsidRDefault="001E07A3">
      <w:pPr>
        <w:rPr>
          <w:b/>
          <w:sz w:val="22"/>
          <w:szCs w:val="22"/>
        </w:rPr>
      </w:pP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</w:r>
      <w:r w:rsidRPr="00E32DFC">
        <w:rPr>
          <w:b/>
          <w:sz w:val="22"/>
          <w:szCs w:val="22"/>
          <w:lang w:val="mk-MK"/>
        </w:rPr>
        <w:tab/>
        <w:t xml:space="preserve">       </w:t>
      </w:r>
      <w:bookmarkStart w:id="14" w:name="OIzvrsitel1"/>
      <w:bookmarkEnd w:id="14"/>
      <w:r w:rsidR="00CC76C8" w:rsidRPr="00E32DFC">
        <w:rPr>
          <w:b/>
          <w:sz w:val="22"/>
          <w:szCs w:val="22"/>
          <w:lang w:val="mk-MK"/>
        </w:rPr>
        <w:t>Никола Богатинов</w:t>
      </w:r>
    </w:p>
    <w:p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C8" w:rsidRDefault="00CC76C8" w:rsidP="00CC76C8">
      <w:r>
        <w:separator/>
      </w:r>
    </w:p>
  </w:endnote>
  <w:endnote w:type="continuationSeparator" w:id="0">
    <w:p w:rsidR="00CC76C8" w:rsidRDefault="00CC76C8" w:rsidP="00C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C8" w:rsidRPr="00CC76C8" w:rsidRDefault="00CC76C8" w:rsidP="00CC76C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7E9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C8" w:rsidRDefault="00CC76C8" w:rsidP="00CC76C8">
      <w:r>
        <w:separator/>
      </w:r>
    </w:p>
  </w:footnote>
  <w:footnote w:type="continuationSeparator" w:id="0">
    <w:p w:rsidR="00CC76C8" w:rsidRDefault="00CC76C8" w:rsidP="00CC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03A58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51DEB"/>
    <w:rsid w:val="00CC76C8"/>
    <w:rsid w:val="00CC7E9C"/>
    <w:rsid w:val="00D13CFC"/>
    <w:rsid w:val="00D73727"/>
    <w:rsid w:val="00DD7AAB"/>
    <w:rsid w:val="00E22D4F"/>
    <w:rsid w:val="00E270D6"/>
    <w:rsid w:val="00E32DFC"/>
    <w:rsid w:val="00E365E7"/>
    <w:rsid w:val="00E571FA"/>
    <w:rsid w:val="00EC0511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7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76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C7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76C8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76C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Nikola</cp:lastModifiedBy>
  <cp:revision>5</cp:revision>
  <cp:lastPrinted>2008-01-18T11:23:00Z</cp:lastPrinted>
  <dcterms:created xsi:type="dcterms:W3CDTF">2023-11-28T10:59:00Z</dcterms:created>
  <dcterms:modified xsi:type="dcterms:W3CDTF">2023-11-28T11:08:00Z</dcterms:modified>
</cp:coreProperties>
</file>