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3A" w:rsidRDefault="00D4553A" w:rsidP="00D4553A">
      <w:pPr>
        <w:tabs>
          <w:tab w:val="left" w:pos="6551"/>
        </w:tabs>
        <w:autoSpaceDE w:val="0"/>
        <w:autoSpaceDN w:val="0"/>
        <w:adjustRightInd w:val="0"/>
        <w:spacing w:after="0" w:line="240" w:lineRule="auto"/>
        <w:jc w:val="right"/>
        <w:rPr>
          <w:rFonts w:ascii="Arial" w:hAnsi="Arial" w:cs="Arial"/>
          <w:sz w:val="18"/>
          <w:szCs w:val="20"/>
          <w:lang w:val="en-US"/>
        </w:rPr>
      </w:pPr>
    </w:p>
    <w:tbl>
      <w:tblPr>
        <w:tblW w:w="0" w:type="auto"/>
        <w:tblLook w:val="04A0" w:firstRow="1" w:lastRow="0" w:firstColumn="1" w:lastColumn="0" w:noHBand="0" w:noVBand="1"/>
      </w:tblPr>
      <w:tblGrid>
        <w:gridCol w:w="5294"/>
        <w:gridCol w:w="499"/>
        <w:gridCol w:w="843"/>
        <w:gridCol w:w="2606"/>
      </w:tblGrid>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sz w:val="20"/>
                <w:lang w:val="ru-RU"/>
              </w:rPr>
            </w:pPr>
            <w:r>
              <w:rPr>
                <w:rFonts w:ascii="Arial" w:hAnsi="Arial" w:cs="Arial"/>
                <w:noProof/>
                <w:sz w:val="20"/>
                <w:lang w:eastAsia="mk-MK"/>
              </w:rPr>
              <w:drawing>
                <wp:inline distT="0" distB="0" distL="0" distR="0">
                  <wp:extent cx="2952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566" w:type="dxa"/>
          </w:tcPr>
          <w:p w:rsidR="00D4553A" w:rsidRDefault="00D4553A">
            <w:pPr>
              <w:tabs>
                <w:tab w:val="center" w:pos="2268"/>
                <w:tab w:val="left" w:pos="6551"/>
              </w:tabs>
              <w:spacing w:after="0" w:line="240" w:lineRule="auto"/>
              <w:jc w:val="both"/>
              <w:rPr>
                <w:rFonts w:ascii="Arial" w:eastAsia="Times New Roman" w:hAnsi="Arial" w:cs="Arial"/>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sz w:val="20"/>
                <w:lang w:val="ru-RU"/>
              </w:rPr>
            </w:pPr>
          </w:p>
        </w:tc>
      </w:tr>
      <w:tr w:rsidR="00D4553A" w:rsidTr="00D4553A">
        <w:tc>
          <w:tcPr>
            <w:tcW w:w="6204" w:type="dxa"/>
            <w:hideMark/>
          </w:tcPr>
          <w:p w:rsidR="00D4553A" w:rsidRDefault="00D4553A">
            <w:pPr>
              <w:spacing w:after="0" w:line="240" w:lineRule="auto"/>
              <w:rPr>
                <w:sz w:val="20"/>
                <w:szCs w:val="20"/>
                <w:lang w:eastAsia="mk-MK"/>
              </w:rPr>
            </w:pP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ru-RU"/>
              </w:rPr>
            </w:pPr>
            <w:r>
              <w:rPr>
                <w:rFonts w:ascii="Arial" w:eastAsia="Times New Roman" w:hAnsi="Arial" w:cs="Arial"/>
                <w:b/>
                <w:sz w:val="20"/>
              </w:rPr>
              <w:t>И З В Р Ш И Т Е Л</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en-US"/>
              </w:rPr>
            </w:pPr>
            <w:r>
              <w:rPr>
                <w:rFonts w:ascii="Arial" w:eastAsia="Times New Roman" w:hAnsi="Arial" w:cs="Arial"/>
                <w:b/>
                <w:sz w:val="20"/>
              </w:rPr>
              <w:t>Образец бр.</w:t>
            </w:r>
            <w:r>
              <w:rPr>
                <w:rFonts w:ascii="Arial" w:eastAsia="Times New Roman" w:hAnsi="Arial" w:cs="Arial"/>
                <w:b/>
                <w:sz w:val="20"/>
                <w:lang w:val="en-US"/>
              </w:rPr>
              <w:t>66</w:t>
            </w: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en-US"/>
              </w:rPr>
            </w:pPr>
            <w:bookmarkStart w:id="0" w:name="Ime"/>
            <w:bookmarkEnd w:id="0"/>
            <w:proofErr w:type="spellStart"/>
            <w:r>
              <w:rPr>
                <w:rFonts w:ascii="Arial" w:eastAsia="Times New Roman" w:hAnsi="Arial" w:cs="Arial"/>
                <w:b/>
                <w:sz w:val="20"/>
                <w:lang w:val="en-US"/>
              </w:rPr>
              <w:t>Александар</w:t>
            </w:r>
            <w:proofErr w:type="spellEnd"/>
            <w:r>
              <w:rPr>
                <w:rFonts w:ascii="Arial" w:eastAsia="Times New Roman" w:hAnsi="Arial" w:cs="Arial"/>
                <w:b/>
                <w:sz w:val="20"/>
                <w:lang w:val="en-US"/>
              </w:rPr>
              <w:t xml:space="preserve"> </w:t>
            </w:r>
            <w:proofErr w:type="spellStart"/>
            <w:r>
              <w:rPr>
                <w:rFonts w:ascii="Arial" w:eastAsia="Times New Roman" w:hAnsi="Arial" w:cs="Arial"/>
                <w:b/>
                <w:sz w:val="20"/>
                <w:lang w:val="en-US"/>
              </w:rPr>
              <w:t>Кузмановски</w:t>
            </w:r>
            <w:proofErr w:type="spellEnd"/>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ru-RU"/>
              </w:rPr>
            </w:pPr>
            <w:r>
              <w:rPr>
                <w:rFonts w:ascii="Arial" w:eastAsia="Times New Roman" w:hAnsi="Arial" w:cs="Arial"/>
                <w:b/>
                <w:sz w:val="20"/>
              </w:rPr>
              <w:t>именуван за подрачјето</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ru-RU"/>
              </w:rPr>
            </w:pPr>
            <w:r>
              <w:rPr>
                <w:rFonts w:ascii="Arial" w:eastAsia="Times New Roman" w:hAnsi="Arial" w:cs="Arial"/>
                <w:b/>
                <w:sz w:val="20"/>
              </w:rPr>
              <w:t>на Основниот суд</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en-US"/>
              </w:rPr>
            </w:pPr>
            <w:r>
              <w:rPr>
                <w:rFonts w:ascii="Arial" w:eastAsia="Times New Roman" w:hAnsi="Arial" w:cs="Arial"/>
                <w:b/>
                <w:color w:val="000000"/>
                <w:sz w:val="20"/>
              </w:rPr>
              <w:t>И.бр</w:t>
            </w:r>
            <w:r>
              <w:rPr>
                <w:rFonts w:ascii="Arial" w:eastAsia="Times New Roman" w:hAnsi="Arial" w:cs="Arial"/>
                <w:b/>
                <w:sz w:val="20"/>
                <w:lang w:val="en-US"/>
              </w:rPr>
              <w:t xml:space="preserve">. </w:t>
            </w:r>
            <w:bookmarkStart w:id="1" w:name="Ibr"/>
            <w:bookmarkEnd w:id="1"/>
            <w:r>
              <w:rPr>
                <w:rFonts w:ascii="Arial" w:eastAsia="Times New Roman" w:hAnsi="Arial" w:cs="Arial"/>
                <w:b/>
                <w:sz w:val="20"/>
                <w:lang w:val="en-US"/>
              </w:rPr>
              <w:t xml:space="preserve">379/2019 </w:t>
            </w: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ru-RU"/>
              </w:rPr>
            </w:pPr>
            <w:bookmarkStart w:id="2" w:name="OPodracjeSud"/>
            <w:bookmarkEnd w:id="2"/>
            <w:r>
              <w:rPr>
                <w:rFonts w:ascii="Arial" w:eastAsia="Times New Roman" w:hAnsi="Arial" w:cs="Arial"/>
                <w:b/>
                <w:sz w:val="20"/>
                <w:lang w:val="ru-RU"/>
              </w:rPr>
              <w:t>Гостивар и Кичево</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en-US"/>
              </w:rPr>
            </w:pPr>
            <w:bookmarkStart w:id="3" w:name="OAdresaIzv"/>
            <w:bookmarkEnd w:id="3"/>
            <w:proofErr w:type="spellStart"/>
            <w:r>
              <w:rPr>
                <w:rFonts w:ascii="Arial" w:eastAsia="Times New Roman" w:hAnsi="Arial" w:cs="Arial"/>
                <w:b/>
                <w:sz w:val="20"/>
                <w:lang w:val="en-US"/>
              </w:rPr>
              <w:t>ул.Живко</w:t>
            </w:r>
            <w:proofErr w:type="spellEnd"/>
            <w:r>
              <w:rPr>
                <w:rFonts w:ascii="Arial" w:eastAsia="Times New Roman" w:hAnsi="Arial" w:cs="Arial"/>
                <w:b/>
                <w:sz w:val="20"/>
                <w:lang w:val="en-US"/>
              </w:rPr>
              <w:t xml:space="preserve"> </w:t>
            </w:r>
            <w:proofErr w:type="spellStart"/>
            <w:r>
              <w:rPr>
                <w:rFonts w:ascii="Arial" w:eastAsia="Times New Roman" w:hAnsi="Arial" w:cs="Arial"/>
                <w:b/>
                <w:sz w:val="20"/>
                <w:lang w:val="en-US"/>
              </w:rPr>
              <w:t>Брајковски</w:t>
            </w:r>
            <w:proofErr w:type="spellEnd"/>
            <w:r>
              <w:rPr>
                <w:rFonts w:ascii="Arial" w:eastAsia="Times New Roman" w:hAnsi="Arial" w:cs="Arial"/>
                <w:b/>
                <w:sz w:val="20"/>
                <w:lang w:val="en-US"/>
              </w:rPr>
              <w:t xml:space="preserve"> бр.23</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r w:rsidR="00D4553A" w:rsidTr="00D4553A">
        <w:tc>
          <w:tcPr>
            <w:tcW w:w="6204" w:type="dxa"/>
            <w:hideMark/>
          </w:tcPr>
          <w:p w:rsidR="00D4553A" w:rsidRDefault="00D4553A">
            <w:pPr>
              <w:tabs>
                <w:tab w:val="center" w:pos="2268"/>
                <w:tab w:val="left" w:pos="6551"/>
              </w:tabs>
              <w:spacing w:after="0" w:line="240" w:lineRule="auto"/>
              <w:jc w:val="center"/>
              <w:rPr>
                <w:rFonts w:ascii="Arial" w:eastAsia="Times New Roman" w:hAnsi="Arial" w:cs="Arial"/>
                <w:b/>
                <w:sz w:val="20"/>
                <w:lang w:val="en-US"/>
              </w:rPr>
            </w:pPr>
            <w:bookmarkStart w:id="4" w:name="tel"/>
            <w:bookmarkEnd w:id="4"/>
            <w:proofErr w:type="spellStart"/>
            <w:proofErr w:type="gramStart"/>
            <w:r>
              <w:rPr>
                <w:rFonts w:ascii="Arial" w:eastAsia="Times New Roman" w:hAnsi="Arial" w:cs="Arial"/>
                <w:b/>
                <w:sz w:val="20"/>
                <w:lang w:val="en-US"/>
              </w:rPr>
              <w:t>тел</w:t>
            </w:r>
            <w:proofErr w:type="spellEnd"/>
            <w:proofErr w:type="gramEnd"/>
            <w:r>
              <w:rPr>
                <w:rFonts w:ascii="Arial" w:eastAsia="Times New Roman" w:hAnsi="Arial" w:cs="Arial"/>
                <w:b/>
                <w:sz w:val="20"/>
                <w:lang w:val="en-US"/>
              </w:rPr>
              <w:t>. 042 27 24 24</w:t>
            </w:r>
          </w:p>
        </w:tc>
        <w:tc>
          <w:tcPr>
            <w:tcW w:w="566"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993"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c>
          <w:tcPr>
            <w:tcW w:w="2977" w:type="dxa"/>
          </w:tcPr>
          <w:p w:rsidR="00D4553A" w:rsidRDefault="00D4553A">
            <w:pPr>
              <w:tabs>
                <w:tab w:val="center" w:pos="2268"/>
                <w:tab w:val="left" w:pos="6551"/>
              </w:tabs>
              <w:spacing w:after="0" w:line="240" w:lineRule="auto"/>
              <w:jc w:val="both"/>
              <w:rPr>
                <w:rFonts w:ascii="Arial" w:eastAsia="Times New Roman" w:hAnsi="Arial" w:cs="Arial"/>
                <w:b/>
                <w:sz w:val="20"/>
                <w:lang w:val="ru-RU"/>
              </w:rPr>
            </w:pPr>
          </w:p>
        </w:tc>
      </w:tr>
    </w:tbl>
    <w:p w:rsidR="00D4553A" w:rsidRDefault="00D4553A" w:rsidP="00D4553A">
      <w:pPr>
        <w:tabs>
          <w:tab w:val="left" w:pos="6551"/>
        </w:tabs>
        <w:autoSpaceDE w:val="0"/>
        <w:autoSpaceDN w:val="0"/>
        <w:adjustRightInd w:val="0"/>
        <w:spacing w:after="0" w:line="240" w:lineRule="auto"/>
        <w:rPr>
          <w:rFonts w:ascii="Arial" w:hAnsi="Arial" w:cs="Arial"/>
          <w:b/>
          <w:bCs/>
          <w:color w:val="000080"/>
          <w:sz w:val="18"/>
          <w:szCs w:val="20"/>
        </w:rPr>
      </w:pPr>
      <w:r>
        <w:rPr>
          <w:rFonts w:ascii="Arial" w:hAnsi="Arial" w:cs="Arial"/>
          <w:b/>
          <w:bCs/>
          <w:color w:val="000080"/>
          <w:sz w:val="18"/>
          <w:szCs w:val="20"/>
        </w:rPr>
        <w:t xml:space="preserve">                                 </w:t>
      </w:r>
      <w:r>
        <w:rPr>
          <w:rFonts w:ascii="Arial" w:hAnsi="Arial" w:cs="Arial"/>
          <w:b/>
          <w:bCs/>
          <w:color w:val="000080"/>
          <w:sz w:val="18"/>
          <w:szCs w:val="20"/>
        </w:rPr>
        <w:tab/>
      </w:r>
      <w:r>
        <w:rPr>
          <w:rFonts w:ascii="Arial" w:hAnsi="Arial" w:cs="Arial"/>
          <w:b/>
          <w:bCs/>
          <w:color w:val="000080"/>
          <w:sz w:val="18"/>
          <w:szCs w:val="20"/>
        </w:rPr>
        <w:tab/>
      </w:r>
      <w:r>
        <w:rPr>
          <w:rFonts w:ascii="Arial" w:hAnsi="Arial" w:cs="Arial"/>
          <w:b/>
          <w:bCs/>
          <w:color w:val="000080"/>
          <w:sz w:val="18"/>
          <w:szCs w:val="20"/>
        </w:rPr>
        <w:tab/>
        <w:t xml:space="preserve">   </w:t>
      </w:r>
    </w:p>
    <w:p w:rsidR="00D4553A" w:rsidRDefault="00D4553A" w:rsidP="00D4553A">
      <w:pPr>
        <w:tabs>
          <w:tab w:val="left" w:pos="6551"/>
        </w:tabs>
        <w:autoSpaceDE w:val="0"/>
        <w:autoSpaceDN w:val="0"/>
        <w:adjustRightInd w:val="0"/>
        <w:spacing w:after="0" w:line="240" w:lineRule="auto"/>
        <w:jc w:val="both"/>
        <w:rPr>
          <w:rFonts w:ascii="Arial" w:hAnsi="Arial" w:cs="Arial"/>
          <w:b/>
          <w:bCs/>
          <w:sz w:val="18"/>
          <w:szCs w:val="20"/>
          <w:lang w:val="en-US"/>
        </w:rPr>
      </w:pPr>
    </w:p>
    <w:p w:rsidR="00D4553A" w:rsidRDefault="00D4553A" w:rsidP="00D4553A">
      <w:pPr>
        <w:tabs>
          <w:tab w:val="left" w:pos="6551"/>
        </w:tabs>
        <w:autoSpaceDE w:val="0"/>
        <w:autoSpaceDN w:val="0"/>
        <w:adjustRightInd w:val="0"/>
        <w:spacing w:after="0" w:line="240" w:lineRule="auto"/>
        <w:jc w:val="both"/>
        <w:rPr>
          <w:rFonts w:ascii="Arial" w:hAnsi="Arial" w:cs="Arial"/>
          <w:sz w:val="18"/>
          <w:szCs w:val="20"/>
        </w:rPr>
      </w:pPr>
      <w:r>
        <w:rPr>
          <w:rFonts w:ascii="Arial" w:hAnsi="Arial" w:cs="Arial"/>
          <w:sz w:val="18"/>
          <w:szCs w:val="20"/>
        </w:rPr>
        <w:t xml:space="preserve">Извршителот </w:t>
      </w:r>
      <w:r>
        <w:rPr>
          <w:rFonts w:ascii="Arial" w:hAnsi="Arial" w:cs="Arial"/>
          <w:b/>
          <w:bCs/>
          <w:color w:val="000000"/>
          <w:sz w:val="18"/>
          <w:szCs w:val="20"/>
        </w:rPr>
        <w:t>Александар Кузмановски</w:t>
      </w:r>
      <w:r>
        <w:rPr>
          <w:rFonts w:ascii="Arial" w:hAnsi="Arial" w:cs="Arial"/>
          <w:sz w:val="18"/>
          <w:szCs w:val="20"/>
        </w:rPr>
        <w:t xml:space="preserve"> од </w:t>
      </w:r>
      <w:r>
        <w:rPr>
          <w:rFonts w:ascii="Arial" w:hAnsi="Arial" w:cs="Arial"/>
          <w:b/>
          <w:bCs/>
          <w:color w:val="000000"/>
          <w:sz w:val="18"/>
          <w:szCs w:val="20"/>
        </w:rPr>
        <w:t>Гостивар</w:t>
      </w:r>
      <w:r>
        <w:rPr>
          <w:rFonts w:ascii="Arial" w:hAnsi="Arial" w:cs="Arial"/>
          <w:sz w:val="18"/>
          <w:szCs w:val="20"/>
        </w:rPr>
        <w:t xml:space="preserve"> врз основа на барањето за спроведување на извршување од доверителот </w:t>
      </w:r>
      <w:r>
        <w:rPr>
          <w:rFonts w:ascii="Arial" w:hAnsi="Arial" w:cs="Arial"/>
          <w:b/>
          <w:bCs/>
          <w:color w:val="000000"/>
          <w:sz w:val="18"/>
          <w:szCs w:val="20"/>
        </w:rPr>
        <w:t>Халк Банка АД Скопје</w:t>
      </w:r>
      <w:r>
        <w:rPr>
          <w:rFonts w:ascii="Arial" w:hAnsi="Arial" w:cs="Arial"/>
          <w:sz w:val="18"/>
          <w:szCs w:val="20"/>
        </w:rPr>
        <w:t xml:space="preserve"> од </w:t>
      </w:r>
      <w:r>
        <w:rPr>
          <w:rFonts w:ascii="Arial" w:hAnsi="Arial" w:cs="Arial"/>
          <w:color w:val="000000"/>
          <w:sz w:val="18"/>
          <w:szCs w:val="20"/>
        </w:rPr>
        <w:t>Скопје</w:t>
      </w:r>
      <w:r>
        <w:rPr>
          <w:rFonts w:ascii="Arial" w:hAnsi="Arial" w:cs="Arial"/>
          <w:sz w:val="18"/>
          <w:szCs w:val="20"/>
        </w:rPr>
        <w:t xml:space="preserve"> со седиште на </w:t>
      </w:r>
      <w:r>
        <w:rPr>
          <w:rFonts w:ascii="Arial" w:hAnsi="Arial" w:cs="Arial"/>
          <w:color w:val="000000"/>
          <w:sz w:val="18"/>
          <w:szCs w:val="20"/>
        </w:rPr>
        <w:t>ул.Свети Кирил и Методиј бр.54</w:t>
      </w:r>
      <w:r>
        <w:rPr>
          <w:rFonts w:ascii="Arial" w:hAnsi="Arial" w:cs="Arial"/>
          <w:sz w:val="18"/>
          <w:szCs w:val="20"/>
        </w:rPr>
        <w:t xml:space="preserve">, засновано на извршната исправа </w:t>
      </w:r>
      <w:r>
        <w:rPr>
          <w:rFonts w:ascii="Arial" w:hAnsi="Arial" w:cs="Arial"/>
          <w:color w:val="000000"/>
          <w:sz w:val="18"/>
          <w:szCs w:val="20"/>
        </w:rPr>
        <w:t>ОДУ.бр.788/17</w:t>
      </w:r>
      <w:r>
        <w:rPr>
          <w:rFonts w:ascii="Arial" w:hAnsi="Arial" w:cs="Arial"/>
          <w:sz w:val="18"/>
          <w:szCs w:val="20"/>
        </w:rPr>
        <w:t xml:space="preserve"> од </w:t>
      </w:r>
      <w:r>
        <w:rPr>
          <w:rFonts w:ascii="Arial" w:hAnsi="Arial" w:cs="Arial"/>
          <w:color w:val="000000"/>
          <w:sz w:val="18"/>
          <w:szCs w:val="20"/>
        </w:rPr>
        <w:t>10.07.2017</w:t>
      </w:r>
      <w:r>
        <w:rPr>
          <w:rFonts w:ascii="Arial" w:hAnsi="Arial" w:cs="Arial"/>
          <w:sz w:val="18"/>
          <w:szCs w:val="20"/>
        </w:rPr>
        <w:t xml:space="preserve"> на </w:t>
      </w:r>
      <w:r>
        <w:rPr>
          <w:rFonts w:ascii="Arial" w:hAnsi="Arial" w:cs="Arial"/>
          <w:color w:val="000000"/>
          <w:sz w:val="18"/>
          <w:szCs w:val="20"/>
        </w:rPr>
        <w:t>Нотар Башким Елези Гостивар</w:t>
      </w:r>
      <w:r>
        <w:rPr>
          <w:rFonts w:ascii="Arial" w:hAnsi="Arial" w:cs="Arial"/>
          <w:sz w:val="18"/>
          <w:szCs w:val="20"/>
        </w:rPr>
        <w:t>, против должникот</w:t>
      </w:r>
      <w:r>
        <w:rPr>
          <w:rFonts w:ascii="Arial" w:hAnsi="Arial" w:cs="Arial"/>
          <w:b/>
          <w:bCs/>
          <w:color w:val="000000"/>
          <w:sz w:val="18"/>
          <w:szCs w:val="20"/>
        </w:rPr>
        <w:t xml:space="preserve"> Друштво за производство,трговија,угостителство и услуги ПЕТАР ДВЕИЛЈАДИИОСУМ ДООЕЛ Скопје</w:t>
      </w:r>
      <w:r>
        <w:rPr>
          <w:rFonts w:ascii="Arial" w:hAnsi="Arial" w:cs="Arial"/>
          <w:b/>
          <w:bCs/>
          <w:color w:val="000000"/>
          <w:sz w:val="18"/>
          <w:szCs w:val="20"/>
          <w:lang w:val="en-US"/>
        </w:rPr>
        <w:t xml:space="preserve">, </w:t>
      </w:r>
      <w:r>
        <w:rPr>
          <w:rFonts w:ascii="Arial" w:hAnsi="Arial" w:cs="Arial"/>
          <w:b/>
          <w:bCs/>
          <w:color w:val="000000"/>
          <w:sz w:val="18"/>
          <w:szCs w:val="20"/>
        </w:rPr>
        <w:t>со променет назив ДПТУУ ЛИДА КОРПОРАЦИЈА ДООЕЛ увоз-извоз Скопје со ЕДБ 4007012513517, видно од Историјат на промени на ЦРРСМ  од 03.05.2019 година бр.0805-50/15112019002322, и заложните должници Осман Амети од Гостивар, Балин Дол, ул. Стрчек бб и Љиндмир Авмети од Гостивар ул. Карагач бб, Балин Дол, Гостивар</w:t>
      </w:r>
      <w:r>
        <w:rPr>
          <w:rFonts w:ascii="Arial" w:hAnsi="Arial" w:cs="Arial"/>
          <w:sz w:val="18"/>
          <w:szCs w:val="20"/>
        </w:rPr>
        <w:t xml:space="preserve">, за спроведување на извршување, вредност 8.254.508,00 денари, на ден </w:t>
      </w:r>
      <w:r>
        <w:rPr>
          <w:rFonts w:ascii="Arial" w:hAnsi="Arial" w:cs="Arial"/>
          <w:sz w:val="18"/>
          <w:szCs w:val="20"/>
          <w:lang w:val="en-US"/>
        </w:rPr>
        <w:t>27.01.2021</w:t>
      </w:r>
      <w:r>
        <w:rPr>
          <w:rFonts w:ascii="Arial" w:hAnsi="Arial" w:cs="Arial"/>
          <w:sz w:val="18"/>
          <w:szCs w:val="20"/>
        </w:rPr>
        <w:t xml:space="preserve"> година го издава следниот:                                                                                                                                                                    </w:t>
      </w:r>
    </w:p>
    <w:p w:rsidR="00D4553A" w:rsidRDefault="00D4553A" w:rsidP="00D4553A">
      <w:pPr>
        <w:tabs>
          <w:tab w:val="left" w:pos="6551"/>
        </w:tabs>
        <w:autoSpaceDE w:val="0"/>
        <w:autoSpaceDN w:val="0"/>
        <w:adjustRightInd w:val="0"/>
        <w:spacing w:after="0" w:line="240" w:lineRule="auto"/>
        <w:rPr>
          <w:rFonts w:ascii="Arial" w:hAnsi="Arial" w:cs="Arial"/>
          <w:sz w:val="20"/>
        </w:rPr>
      </w:pPr>
      <w:r>
        <w:rPr>
          <w:rFonts w:ascii="Arial" w:hAnsi="Arial" w:cs="Arial"/>
          <w:sz w:val="20"/>
        </w:rPr>
        <w:t xml:space="preserve">                                                                                                                                                                   </w:t>
      </w:r>
    </w:p>
    <w:p w:rsidR="00D4553A" w:rsidRDefault="00D4553A" w:rsidP="00D4553A">
      <w:pPr>
        <w:tabs>
          <w:tab w:val="left" w:pos="6551"/>
        </w:tabs>
        <w:spacing w:after="0"/>
        <w:jc w:val="center"/>
        <w:rPr>
          <w:rFonts w:ascii="Arial" w:hAnsi="Arial" w:cs="Arial"/>
          <w:b/>
          <w:sz w:val="20"/>
        </w:rPr>
      </w:pPr>
      <w:r>
        <w:rPr>
          <w:rFonts w:ascii="Arial" w:hAnsi="Arial" w:cs="Arial"/>
          <w:b/>
          <w:sz w:val="20"/>
        </w:rPr>
        <w:t>З А К Л У Ч О К</w:t>
      </w:r>
    </w:p>
    <w:p w:rsidR="00D4553A" w:rsidRDefault="00D4553A" w:rsidP="00D4553A">
      <w:pPr>
        <w:tabs>
          <w:tab w:val="left" w:pos="6551"/>
        </w:tabs>
        <w:spacing w:after="0"/>
        <w:jc w:val="center"/>
        <w:rPr>
          <w:rFonts w:ascii="Arial" w:hAnsi="Arial" w:cs="Arial"/>
          <w:b/>
          <w:sz w:val="20"/>
        </w:rPr>
      </w:pPr>
      <w:r>
        <w:rPr>
          <w:rFonts w:ascii="Arial" w:hAnsi="Arial" w:cs="Arial"/>
          <w:b/>
          <w:sz w:val="20"/>
        </w:rPr>
        <w:t>ЗА ТРЕТА УСНА ЈАВНА ПРОДАЖБА</w:t>
      </w:r>
    </w:p>
    <w:p w:rsidR="00D4553A" w:rsidRDefault="00D4553A" w:rsidP="00D4553A">
      <w:pPr>
        <w:tabs>
          <w:tab w:val="left" w:pos="6551"/>
        </w:tabs>
        <w:spacing w:after="0"/>
        <w:jc w:val="center"/>
        <w:rPr>
          <w:rFonts w:ascii="Arial" w:hAnsi="Arial" w:cs="Arial"/>
          <w:b/>
          <w:sz w:val="20"/>
        </w:rPr>
      </w:pPr>
      <w:r>
        <w:rPr>
          <w:rFonts w:ascii="Arial" w:hAnsi="Arial" w:cs="Arial"/>
          <w:b/>
          <w:sz w:val="20"/>
        </w:rPr>
        <w:t xml:space="preserve">(врз основа на членовите 179 став (1), 181 став (1) и 182 став (1) од </w:t>
      </w:r>
      <w:r>
        <w:rPr>
          <w:rFonts w:ascii="Arial" w:hAnsi="Arial" w:cs="Arial"/>
          <w:b/>
          <w:bCs/>
          <w:sz w:val="20"/>
        </w:rPr>
        <w:t>Законот за извршување</w:t>
      </w:r>
      <w:r>
        <w:rPr>
          <w:rFonts w:ascii="Arial" w:hAnsi="Arial" w:cs="Arial"/>
          <w:b/>
          <w:sz w:val="20"/>
        </w:rPr>
        <w:t>)</w:t>
      </w:r>
    </w:p>
    <w:p w:rsidR="00D4553A" w:rsidRDefault="00D4553A" w:rsidP="00D4553A">
      <w:pPr>
        <w:tabs>
          <w:tab w:val="left" w:pos="6551"/>
        </w:tabs>
        <w:autoSpaceDE w:val="0"/>
        <w:autoSpaceDN w:val="0"/>
        <w:adjustRightInd w:val="0"/>
        <w:spacing w:after="0" w:line="240" w:lineRule="auto"/>
        <w:rPr>
          <w:rFonts w:ascii="Arial" w:hAnsi="Arial" w:cs="Arial"/>
          <w:sz w:val="20"/>
        </w:rPr>
      </w:pPr>
    </w:p>
    <w:p w:rsidR="00D4553A" w:rsidRDefault="00D4553A" w:rsidP="00D4553A">
      <w:pPr>
        <w:tabs>
          <w:tab w:val="left" w:pos="6551"/>
        </w:tabs>
        <w:autoSpaceDE w:val="0"/>
        <w:autoSpaceDN w:val="0"/>
        <w:adjustRightInd w:val="0"/>
        <w:spacing w:after="0" w:line="240" w:lineRule="auto"/>
        <w:rPr>
          <w:rFonts w:ascii="Arial" w:hAnsi="Arial" w:cs="Arial"/>
          <w:sz w:val="20"/>
        </w:rPr>
      </w:pPr>
      <w:r>
        <w:rPr>
          <w:rFonts w:ascii="Arial" w:hAnsi="Arial" w:cs="Arial"/>
          <w:sz w:val="20"/>
        </w:rPr>
        <w:t xml:space="preserve"> </w:t>
      </w:r>
    </w:p>
    <w:p w:rsidR="00D4553A" w:rsidRDefault="00D4553A" w:rsidP="00D4553A">
      <w:pPr>
        <w:tabs>
          <w:tab w:val="left" w:pos="6551"/>
        </w:tabs>
        <w:ind w:firstLine="720"/>
        <w:jc w:val="both"/>
        <w:rPr>
          <w:rFonts w:ascii="Arial" w:eastAsia="Times New Roman" w:hAnsi="Arial" w:cs="Arial"/>
          <w:sz w:val="18"/>
          <w:szCs w:val="20"/>
        </w:rPr>
      </w:pPr>
      <w:r>
        <w:rPr>
          <w:rFonts w:ascii="Arial" w:eastAsia="Times New Roman" w:hAnsi="Arial" w:cs="Arial"/>
          <w:sz w:val="18"/>
          <w:szCs w:val="20"/>
        </w:rPr>
        <w:t>СЕ ОПРЕДЕЛУВА трета продажба со усно  јавно наддавање на недвижноста означена како:</w:t>
      </w:r>
    </w:p>
    <w:p w:rsidR="00D4553A" w:rsidRDefault="00D4553A" w:rsidP="00D4553A">
      <w:pPr>
        <w:tabs>
          <w:tab w:val="left" w:pos="6551"/>
        </w:tabs>
        <w:ind w:firstLine="720"/>
        <w:jc w:val="both"/>
        <w:rPr>
          <w:rFonts w:ascii="Arial" w:hAnsi="Arial" w:cs="Arial"/>
          <w:bCs/>
          <w:sz w:val="18"/>
          <w:szCs w:val="20"/>
        </w:rPr>
      </w:pPr>
      <w:r>
        <w:rPr>
          <w:rFonts w:ascii="Arial" w:hAnsi="Arial" w:cs="Arial"/>
          <w:bCs/>
          <w:sz w:val="18"/>
          <w:szCs w:val="20"/>
        </w:rPr>
        <w:t>ЛИСТ Б</w:t>
      </w:r>
    </w:p>
    <w:p w:rsidR="00D4553A" w:rsidRDefault="00D4553A" w:rsidP="00D4553A">
      <w:pPr>
        <w:numPr>
          <w:ilvl w:val="0"/>
          <w:numId w:val="1"/>
        </w:numPr>
        <w:tabs>
          <w:tab w:val="left" w:pos="6551"/>
        </w:tabs>
        <w:spacing w:after="0" w:line="240" w:lineRule="auto"/>
        <w:jc w:val="both"/>
        <w:rPr>
          <w:rFonts w:ascii="Arial" w:hAnsi="Arial" w:cs="Arial"/>
          <w:bCs/>
          <w:sz w:val="18"/>
          <w:szCs w:val="20"/>
        </w:rPr>
      </w:pPr>
      <w:r>
        <w:rPr>
          <w:rFonts w:ascii="Arial" w:hAnsi="Arial" w:cs="Arial"/>
          <w:bCs/>
          <w:sz w:val="18"/>
          <w:szCs w:val="20"/>
        </w:rPr>
        <w:t>КП 7736, дел 1, викано место Гостивар, култура гз гиз, површина од 62 м2,</w:t>
      </w:r>
    </w:p>
    <w:p w:rsidR="00D4553A" w:rsidRDefault="00D4553A" w:rsidP="00D4553A">
      <w:pPr>
        <w:numPr>
          <w:ilvl w:val="0"/>
          <w:numId w:val="1"/>
        </w:numPr>
        <w:tabs>
          <w:tab w:val="left" w:pos="6551"/>
        </w:tabs>
        <w:spacing w:after="0" w:line="240" w:lineRule="auto"/>
        <w:jc w:val="both"/>
        <w:rPr>
          <w:rFonts w:ascii="Arial" w:hAnsi="Arial" w:cs="Arial"/>
          <w:bCs/>
          <w:sz w:val="18"/>
          <w:szCs w:val="20"/>
        </w:rPr>
      </w:pPr>
      <w:r>
        <w:rPr>
          <w:rFonts w:ascii="Arial" w:hAnsi="Arial" w:cs="Arial"/>
          <w:bCs/>
          <w:sz w:val="18"/>
          <w:szCs w:val="20"/>
        </w:rPr>
        <w:t>КП 7736, дел 1, викано место Гостивар, култура гз зпз 1, површина од 122 м2.</w:t>
      </w:r>
    </w:p>
    <w:p w:rsidR="00D4553A" w:rsidRDefault="00D4553A" w:rsidP="00D4553A">
      <w:pPr>
        <w:tabs>
          <w:tab w:val="left" w:pos="6551"/>
        </w:tabs>
        <w:spacing w:after="0" w:line="240" w:lineRule="auto"/>
        <w:ind w:left="720"/>
        <w:jc w:val="both"/>
        <w:rPr>
          <w:rFonts w:ascii="Arial" w:hAnsi="Arial" w:cs="Arial"/>
          <w:bCs/>
          <w:sz w:val="18"/>
          <w:szCs w:val="20"/>
        </w:rPr>
      </w:pPr>
    </w:p>
    <w:p w:rsidR="00D4553A" w:rsidRDefault="00D4553A" w:rsidP="00D4553A">
      <w:pPr>
        <w:tabs>
          <w:tab w:val="left" w:pos="6551"/>
        </w:tabs>
        <w:jc w:val="both"/>
        <w:rPr>
          <w:rFonts w:ascii="Arial" w:hAnsi="Arial" w:cs="Arial"/>
          <w:bCs/>
          <w:sz w:val="18"/>
          <w:szCs w:val="20"/>
        </w:rPr>
      </w:pPr>
      <w:r>
        <w:rPr>
          <w:rFonts w:ascii="Arial" w:hAnsi="Arial" w:cs="Arial"/>
          <w:bCs/>
          <w:sz w:val="18"/>
          <w:szCs w:val="20"/>
        </w:rPr>
        <w:t xml:space="preserve">              ЛИСТ В</w:t>
      </w:r>
    </w:p>
    <w:p w:rsidR="00D4553A" w:rsidRDefault="00D4553A" w:rsidP="00D4553A">
      <w:pPr>
        <w:pStyle w:val="ListParagraph"/>
        <w:numPr>
          <w:ilvl w:val="0"/>
          <w:numId w:val="1"/>
        </w:numPr>
        <w:tabs>
          <w:tab w:val="left" w:pos="6551"/>
        </w:tabs>
        <w:jc w:val="both"/>
        <w:rPr>
          <w:rFonts w:ascii="Arial" w:hAnsi="Arial" w:cs="Arial"/>
          <w:bCs/>
          <w:sz w:val="18"/>
          <w:szCs w:val="20"/>
        </w:rPr>
      </w:pPr>
      <w:r>
        <w:rPr>
          <w:rFonts w:ascii="Arial" w:hAnsi="Arial" w:cs="Arial"/>
          <w:bCs/>
          <w:sz w:val="18"/>
          <w:szCs w:val="20"/>
        </w:rPr>
        <w:t>КП 7736, дел 1, адреса ул.Беличица бр.36, бр. на згр.1, намена на зграда А1-1, влез 1, кат ПО, број 1, намена на посебен дел ДП, површина од 9м2,</w:t>
      </w:r>
    </w:p>
    <w:p w:rsidR="00D4553A" w:rsidRDefault="00D4553A" w:rsidP="00D4553A">
      <w:pPr>
        <w:pStyle w:val="ListParagraph"/>
        <w:numPr>
          <w:ilvl w:val="0"/>
          <w:numId w:val="1"/>
        </w:numPr>
        <w:tabs>
          <w:tab w:val="left" w:pos="6551"/>
        </w:tabs>
        <w:jc w:val="both"/>
        <w:rPr>
          <w:rFonts w:ascii="Arial" w:hAnsi="Arial" w:cs="Arial"/>
          <w:bCs/>
          <w:sz w:val="18"/>
          <w:szCs w:val="20"/>
        </w:rPr>
      </w:pPr>
      <w:r>
        <w:rPr>
          <w:rFonts w:ascii="Arial" w:hAnsi="Arial" w:cs="Arial"/>
          <w:bCs/>
          <w:sz w:val="18"/>
          <w:szCs w:val="20"/>
        </w:rPr>
        <w:t>КП 7736, дел 1, адреса ул.Беличица бр.36, бр. на згр.1, намена на зграда А1-1, влез 2, кат ПР, број 1, намена на посебен дел ХС, површина од 12м2,</w:t>
      </w:r>
    </w:p>
    <w:p w:rsidR="00D4553A" w:rsidRDefault="00D4553A" w:rsidP="00D4553A">
      <w:pPr>
        <w:pStyle w:val="ListParagraph"/>
        <w:numPr>
          <w:ilvl w:val="0"/>
          <w:numId w:val="1"/>
        </w:numPr>
        <w:tabs>
          <w:tab w:val="left" w:pos="6551"/>
        </w:tabs>
        <w:jc w:val="both"/>
        <w:rPr>
          <w:rFonts w:ascii="Arial" w:hAnsi="Arial" w:cs="Arial"/>
          <w:b/>
          <w:bCs/>
          <w:sz w:val="18"/>
          <w:szCs w:val="20"/>
        </w:rPr>
      </w:pPr>
      <w:r>
        <w:rPr>
          <w:rFonts w:ascii="Arial" w:hAnsi="Arial" w:cs="Arial"/>
          <w:bCs/>
          <w:sz w:val="18"/>
          <w:szCs w:val="20"/>
        </w:rPr>
        <w:t xml:space="preserve">КП 7736, дел 1, адреса ул.Беличица бр.36, бр. на згр.1, намена на зграда А1-1, влез 3, кат ПР, број 1, намена на посебен дел ДП, површина од 52м2, опишани по ИЛ.бр.100799 за КО Гостивар 2, </w:t>
      </w:r>
      <w:r>
        <w:rPr>
          <w:rFonts w:ascii="Arial" w:hAnsi="Arial" w:cs="Arial"/>
          <w:b/>
          <w:bCs/>
          <w:sz w:val="18"/>
          <w:szCs w:val="20"/>
        </w:rPr>
        <w:t xml:space="preserve">сопственост на заложниот должник Осман Амети, </w:t>
      </w:r>
    </w:p>
    <w:p w:rsidR="00D4553A" w:rsidRDefault="00D4553A" w:rsidP="00D4553A">
      <w:pPr>
        <w:pStyle w:val="ListParagraph"/>
        <w:tabs>
          <w:tab w:val="left" w:pos="6551"/>
        </w:tabs>
        <w:ind w:left="1080"/>
        <w:jc w:val="both"/>
        <w:rPr>
          <w:rFonts w:ascii="Arial" w:hAnsi="Arial" w:cs="Arial"/>
          <w:bCs/>
          <w:sz w:val="18"/>
          <w:szCs w:val="20"/>
        </w:rPr>
      </w:pPr>
    </w:p>
    <w:p w:rsidR="00D4553A" w:rsidRDefault="00D4553A" w:rsidP="00D4553A">
      <w:pPr>
        <w:pStyle w:val="ListParagraph"/>
        <w:tabs>
          <w:tab w:val="left" w:pos="6551"/>
        </w:tabs>
        <w:ind w:left="1080"/>
        <w:jc w:val="both"/>
        <w:rPr>
          <w:rFonts w:ascii="Arial" w:hAnsi="Arial" w:cs="Arial"/>
          <w:bCs/>
          <w:sz w:val="18"/>
          <w:szCs w:val="20"/>
        </w:rPr>
      </w:pPr>
      <w:r>
        <w:rPr>
          <w:rFonts w:ascii="Arial" w:hAnsi="Arial" w:cs="Arial"/>
          <w:bCs/>
          <w:sz w:val="18"/>
          <w:szCs w:val="20"/>
        </w:rPr>
        <w:t xml:space="preserve">и врз недвижноста запишана во ИЛ. бр.75625 за КО  Гостивар 2 со следните ознаки: </w:t>
      </w:r>
    </w:p>
    <w:p w:rsidR="00D4553A" w:rsidRDefault="00D4553A" w:rsidP="00D4553A">
      <w:pPr>
        <w:tabs>
          <w:tab w:val="left" w:pos="6551"/>
        </w:tabs>
        <w:ind w:firstLine="720"/>
        <w:jc w:val="both"/>
        <w:rPr>
          <w:rFonts w:ascii="Arial" w:hAnsi="Arial" w:cs="Arial"/>
          <w:bCs/>
          <w:sz w:val="18"/>
          <w:szCs w:val="20"/>
        </w:rPr>
      </w:pPr>
      <w:r>
        <w:rPr>
          <w:rFonts w:ascii="Arial" w:hAnsi="Arial" w:cs="Arial"/>
          <w:bCs/>
          <w:sz w:val="18"/>
          <w:szCs w:val="20"/>
        </w:rPr>
        <w:t>ЛИСТ В</w:t>
      </w:r>
    </w:p>
    <w:p w:rsidR="00D4553A" w:rsidRDefault="00D4553A" w:rsidP="00D4553A">
      <w:pPr>
        <w:tabs>
          <w:tab w:val="left" w:pos="6551"/>
        </w:tabs>
        <w:ind w:firstLine="720"/>
        <w:jc w:val="both"/>
        <w:rPr>
          <w:rFonts w:ascii="Arial" w:eastAsia="Times New Roman" w:hAnsi="Arial" w:cs="Arial"/>
          <w:sz w:val="18"/>
          <w:szCs w:val="20"/>
        </w:rPr>
      </w:pPr>
      <w:r>
        <w:rPr>
          <w:rFonts w:ascii="Arial" w:hAnsi="Arial" w:cs="Arial"/>
          <w:bCs/>
          <w:sz w:val="18"/>
          <w:szCs w:val="20"/>
        </w:rPr>
        <w:t xml:space="preserve">-КП 7736, дел 1, адреса ул.Беличица бр.36, бр. на згр.1, намена на згр. и други објекти А1-2, влез 1, кат ПО, број 1, намена на посебен/заеднички ден од зграда ДП, внатрешна површина од 41м2, </w:t>
      </w:r>
      <w:r>
        <w:rPr>
          <w:rFonts w:ascii="Arial" w:hAnsi="Arial" w:cs="Arial"/>
          <w:b/>
          <w:bCs/>
          <w:sz w:val="18"/>
          <w:szCs w:val="20"/>
        </w:rPr>
        <w:t>сопственост на заложниот должник Љиндмир Авмети</w:t>
      </w:r>
      <w:r>
        <w:rPr>
          <w:rFonts w:ascii="Arial" w:hAnsi="Arial" w:cs="Arial"/>
          <w:bCs/>
          <w:sz w:val="18"/>
          <w:szCs w:val="20"/>
        </w:rPr>
        <w:t>, со сите сегашни и идни прирастоци и припадоци.</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 xml:space="preserve">Продажбата ќе се одржи на ден </w:t>
      </w:r>
      <w:r>
        <w:rPr>
          <w:rFonts w:ascii="Arial" w:eastAsia="Times New Roman" w:hAnsi="Arial" w:cs="Arial"/>
          <w:sz w:val="18"/>
          <w:szCs w:val="20"/>
          <w:lang w:val="ru-RU"/>
        </w:rPr>
        <w:t xml:space="preserve">16.02.2021 </w:t>
      </w:r>
      <w:r>
        <w:rPr>
          <w:rFonts w:ascii="Arial" w:eastAsia="Times New Roman" w:hAnsi="Arial" w:cs="Arial"/>
          <w:sz w:val="18"/>
          <w:szCs w:val="20"/>
        </w:rPr>
        <w:t xml:space="preserve">година во </w:t>
      </w:r>
      <w:r>
        <w:rPr>
          <w:rFonts w:ascii="Arial" w:eastAsia="Times New Roman" w:hAnsi="Arial" w:cs="Arial"/>
          <w:sz w:val="18"/>
          <w:szCs w:val="20"/>
          <w:lang w:val="ru-RU"/>
        </w:rPr>
        <w:t xml:space="preserve">11:00 </w:t>
      </w:r>
      <w:r>
        <w:rPr>
          <w:rFonts w:ascii="Arial" w:eastAsia="Times New Roman" w:hAnsi="Arial" w:cs="Arial"/>
          <w:sz w:val="18"/>
          <w:szCs w:val="20"/>
        </w:rPr>
        <w:t xml:space="preserve">часот во просториите на </w:t>
      </w:r>
      <w:r>
        <w:rPr>
          <w:rFonts w:ascii="Arial" w:eastAsia="Times New Roman" w:hAnsi="Arial" w:cs="Arial"/>
          <w:sz w:val="18"/>
          <w:szCs w:val="20"/>
          <w:lang w:val="ru-RU"/>
        </w:rPr>
        <w:t>Извршител Александар Кузмановски од Гостивар, на ул. Живко Брајковски бр.23 во Гостивар</w:t>
      </w:r>
      <w:r>
        <w:rPr>
          <w:rFonts w:ascii="Arial" w:eastAsia="Times New Roman" w:hAnsi="Arial" w:cs="Arial"/>
          <w:sz w:val="18"/>
          <w:szCs w:val="20"/>
        </w:rPr>
        <w:t xml:space="preserve">. </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p>
    <w:p w:rsidR="00D4553A" w:rsidRDefault="00D4553A" w:rsidP="00D4553A">
      <w:pPr>
        <w:tabs>
          <w:tab w:val="left" w:pos="6551"/>
        </w:tabs>
        <w:spacing w:after="0" w:line="240" w:lineRule="auto"/>
        <w:ind w:firstLine="720"/>
        <w:jc w:val="both"/>
        <w:rPr>
          <w:rFonts w:ascii="Arial" w:hAnsi="Arial" w:cs="Arial"/>
          <w:sz w:val="18"/>
          <w:szCs w:val="20"/>
        </w:rPr>
      </w:pPr>
      <w:r>
        <w:rPr>
          <w:rFonts w:ascii="Arial" w:hAnsi="Arial" w:cs="Arial"/>
          <w:sz w:val="18"/>
          <w:szCs w:val="20"/>
        </w:rPr>
        <w:t>Вредноста на погореопишаните недвижности беше утврдена со Заклучок на Извршителот за утврдување на вредност на недвижност И.бр.379/2019 од 31.10.2019 година</w:t>
      </w:r>
      <w:r>
        <w:rPr>
          <w:rFonts w:ascii="Arial" w:hAnsi="Arial" w:cs="Arial"/>
          <w:sz w:val="18"/>
          <w:szCs w:val="20"/>
          <w:lang w:val="en-US"/>
        </w:rPr>
        <w:t>,</w:t>
      </w:r>
      <w:r>
        <w:rPr>
          <w:rFonts w:ascii="Arial" w:hAnsi="Arial" w:cs="Arial"/>
          <w:sz w:val="18"/>
          <w:szCs w:val="20"/>
        </w:rPr>
        <w:t xml:space="preserve"> а почетната цена за третата </w:t>
      </w:r>
      <w:r>
        <w:rPr>
          <w:rFonts w:ascii="Arial" w:hAnsi="Arial" w:cs="Arial"/>
          <w:sz w:val="18"/>
          <w:szCs w:val="20"/>
        </w:rPr>
        <w:lastRenderedPageBreak/>
        <w:t>продажба со усно јавно наддавање на предлог на доверителот се намалува и се определува на износ од 81.059,00 евра во денарска противвредност по средниот курс на НБРСМ на денот на исплатата како почетна цена под која недвижностите не можат да се продадат на третото усно јавно наддавање.</w:t>
      </w:r>
    </w:p>
    <w:p w:rsidR="00D4553A" w:rsidRDefault="00D4553A" w:rsidP="00D4553A">
      <w:pPr>
        <w:tabs>
          <w:tab w:val="left" w:pos="6551"/>
        </w:tabs>
        <w:spacing w:after="0" w:line="240" w:lineRule="auto"/>
        <w:ind w:firstLine="720"/>
        <w:jc w:val="both"/>
        <w:rPr>
          <w:rFonts w:ascii="Arial" w:hAnsi="Arial" w:cs="Arial"/>
          <w:sz w:val="18"/>
          <w:szCs w:val="20"/>
        </w:rPr>
      </w:pP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Недвижноста опишана по И.Л.бр.100799 КО Гостивар 2 е оптоварена со следните товари и тоа воспоставено право на залог- хипотека во корист на Халк Банка АД Скопје со Договор за залог-хипотека ОДУ.бр .788/17 од 10.07.2017 година на Нотар Башким Елези, воспоставено право на залог- хипотека во корист на Халк Банка АД Скопје Нотарски акт –договор за залог хипотека од втор ред ОДУ.бр.1380/2018 од 03.09.2018 година на Нотар Себаедин Даути, Налог за извршување врз недвижност И.бр.379/2019 од 22.</w:t>
      </w:r>
      <w:r>
        <w:rPr>
          <w:rFonts w:ascii="Arial" w:eastAsia="Times New Roman" w:hAnsi="Arial" w:cs="Arial"/>
          <w:sz w:val="18"/>
          <w:szCs w:val="20"/>
          <w:lang w:val="en-US"/>
        </w:rPr>
        <w:t>0</w:t>
      </w:r>
      <w:r>
        <w:rPr>
          <w:rFonts w:ascii="Arial" w:eastAsia="Times New Roman" w:hAnsi="Arial" w:cs="Arial"/>
          <w:sz w:val="18"/>
          <w:szCs w:val="20"/>
        </w:rPr>
        <w:t>5.2019 година на Извршител Александар Кузмановски, Налог за извршување И.бр.377/2019 од 22.</w:t>
      </w:r>
      <w:r>
        <w:rPr>
          <w:rFonts w:ascii="Arial" w:eastAsia="Times New Roman" w:hAnsi="Arial" w:cs="Arial"/>
          <w:sz w:val="18"/>
          <w:szCs w:val="20"/>
          <w:lang w:val="en-US"/>
        </w:rPr>
        <w:t>0</w:t>
      </w:r>
      <w:r>
        <w:rPr>
          <w:rFonts w:ascii="Arial" w:eastAsia="Times New Roman" w:hAnsi="Arial" w:cs="Arial"/>
          <w:sz w:val="18"/>
          <w:szCs w:val="20"/>
        </w:rPr>
        <w:t>5.2019 година на Извршител Александар Кузмановски и Записник за попис на предметна недвижност И.бр.379/2019 од 17.09.2019 година на Извршител Александар Кузмановски.</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Недвижноста опишана по И.Л.бр.75625 КО Гостивар 2 е оптоварена со следните товари и тоа воспоставено право на залог- хипотека во корист на Халк Банка АД Скопје со Договор за залог-хипотека ОДУ.бр .788/17 од 10.07.2017 година на Нотар Башким Елези, воспоставено право на залог- хипотека во корист на Халк Банка АД Скопје Нотарски акт – договор за залог хипотека од втор ред ОДУ.бр .1380/2018 од 03.09.2018 година на Нотар Себаедин Даути, Налог за извршување врз недвижност И.бр.379/2019 од 26.06.2019 година на Извршител Александар Кузмановски, налог за извршување И.бр.377/2019 од 26.06.2019 година на Извршител Александар Кузмановски и Записник за попис на предметна недвижност И.бр.379/2019 од 17.09.2019 година на Извршител Александар Кузмановски.</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18"/>
          <w:szCs w:val="20"/>
        </w:rPr>
        <w:t xml:space="preserve"> </w:t>
      </w:r>
      <w:r>
        <w:rPr>
          <w:rFonts w:ascii="Arial" w:eastAsia="Times New Roman" w:hAnsi="Arial" w:cs="Arial"/>
          <w:sz w:val="18"/>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D4553A" w:rsidRDefault="00D4553A" w:rsidP="00D4553A">
      <w:pPr>
        <w:tabs>
          <w:tab w:val="left" w:pos="6551"/>
        </w:tabs>
        <w:jc w:val="both"/>
        <w:rPr>
          <w:rFonts w:ascii="Arial" w:hAnsi="Arial" w:cs="Arial"/>
          <w:sz w:val="18"/>
          <w:szCs w:val="20"/>
          <w:lang w:val="en-US"/>
        </w:rPr>
      </w:pPr>
      <w:r>
        <w:rPr>
          <w:rFonts w:ascii="Arial" w:hAnsi="Arial" w:cs="Arial"/>
          <w:sz w:val="18"/>
          <w:szCs w:val="20"/>
        </w:rPr>
        <w:t xml:space="preserve">   </w:t>
      </w:r>
      <w:r>
        <w:rPr>
          <w:rFonts w:ascii="Arial" w:hAnsi="Arial" w:cs="Arial"/>
          <w:b/>
          <w:sz w:val="18"/>
          <w:szCs w:val="20"/>
        </w:rPr>
        <w:t>Уплатата на паричните средства на име гаранција се врши на жиро сметката од извршителот со бр.</w:t>
      </w:r>
      <w:r>
        <w:rPr>
          <w:rFonts w:ascii="Arial" w:hAnsi="Arial" w:cs="Arial"/>
          <w:b/>
          <w:sz w:val="18"/>
          <w:szCs w:val="20"/>
          <w:lang w:val="ru-RU"/>
        </w:rPr>
        <w:t xml:space="preserve"> </w:t>
      </w:r>
      <w:proofErr w:type="gramStart"/>
      <w:r>
        <w:rPr>
          <w:rFonts w:ascii="Arial" w:hAnsi="Arial" w:cs="Arial"/>
          <w:b/>
          <w:color w:val="000000"/>
          <w:sz w:val="18"/>
          <w:szCs w:val="20"/>
          <w:lang w:val="en-US"/>
        </w:rPr>
        <w:t>240190361123114</w:t>
      </w:r>
      <w:r>
        <w:rPr>
          <w:rFonts w:ascii="Arial" w:hAnsi="Arial" w:cs="Arial"/>
          <w:b/>
          <w:sz w:val="18"/>
          <w:szCs w:val="20"/>
          <w:lang w:val="en-US"/>
        </w:rPr>
        <w:t xml:space="preserve"> </w:t>
      </w:r>
      <w:r>
        <w:rPr>
          <w:rFonts w:ascii="Arial" w:hAnsi="Arial" w:cs="Arial"/>
          <w:b/>
          <w:sz w:val="18"/>
          <w:szCs w:val="20"/>
        </w:rPr>
        <w:t xml:space="preserve">која се води кај </w:t>
      </w:r>
      <w:r>
        <w:rPr>
          <w:rFonts w:ascii="Arial" w:hAnsi="Arial" w:cs="Arial"/>
          <w:b/>
          <w:color w:val="000000"/>
          <w:sz w:val="18"/>
          <w:szCs w:val="20"/>
          <w:lang w:val="en-US"/>
        </w:rPr>
        <w:t xml:space="preserve">УНИ </w:t>
      </w:r>
      <w:proofErr w:type="spellStart"/>
      <w:r>
        <w:rPr>
          <w:rFonts w:ascii="Arial" w:hAnsi="Arial" w:cs="Arial"/>
          <w:b/>
          <w:color w:val="000000"/>
          <w:sz w:val="18"/>
          <w:szCs w:val="20"/>
          <w:lang w:val="en-US"/>
        </w:rPr>
        <w:t>Банка</w:t>
      </w:r>
      <w:proofErr w:type="spellEnd"/>
      <w:r>
        <w:rPr>
          <w:rFonts w:ascii="Arial" w:hAnsi="Arial" w:cs="Arial"/>
          <w:b/>
          <w:sz w:val="18"/>
          <w:szCs w:val="20"/>
        </w:rPr>
        <w:t xml:space="preserve"> и даночен број </w:t>
      </w:r>
      <w:r>
        <w:rPr>
          <w:rFonts w:ascii="Arial" w:hAnsi="Arial" w:cs="Arial"/>
          <w:b/>
          <w:color w:val="000000"/>
          <w:sz w:val="18"/>
          <w:szCs w:val="20"/>
          <w:lang w:val="en-US"/>
        </w:rPr>
        <w:t>МК5007013506810</w:t>
      </w:r>
      <w:r>
        <w:rPr>
          <w:rFonts w:ascii="Arial" w:hAnsi="Arial" w:cs="Arial"/>
          <w:sz w:val="18"/>
          <w:szCs w:val="20"/>
          <w:lang w:val="en-US"/>
        </w:rPr>
        <w:t>.</w:t>
      </w:r>
      <w:proofErr w:type="gramEnd"/>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На понудувачите чија понуда не е прифатена, гаранцијата им се враќа веднаш по заклучувањето на јавното наддавање.</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sz w:val="18"/>
          <w:szCs w:val="20"/>
          <w:lang w:val="ru-RU"/>
        </w:rPr>
        <w:t xml:space="preserve">15 </w:t>
      </w:r>
      <w:r>
        <w:rPr>
          <w:rFonts w:ascii="Arial" w:eastAsia="Times New Roman" w:hAnsi="Arial" w:cs="Arial"/>
          <w:sz w:val="18"/>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Овој заклучок ќе се објави во следните средства за јавно информирање Нова Македонија</w:t>
      </w:r>
      <w:r>
        <w:rPr>
          <w:rFonts w:ascii="Arial" w:eastAsia="Times New Roman" w:hAnsi="Arial" w:cs="Arial"/>
          <w:sz w:val="18"/>
          <w:szCs w:val="20"/>
          <w:lang w:val="ru-RU"/>
        </w:rPr>
        <w:t xml:space="preserve"> и електронски на веб страницата на Комората </w:t>
      </w:r>
      <w:r>
        <w:rPr>
          <w:rFonts w:ascii="Arial" w:eastAsia="Times New Roman" w:hAnsi="Arial" w:cs="Arial"/>
          <w:sz w:val="18"/>
          <w:szCs w:val="20"/>
        </w:rPr>
        <w:t>.</w:t>
      </w:r>
    </w:p>
    <w:p w:rsidR="00D4553A" w:rsidRDefault="00D4553A" w:rsidP="00D4553A">
      <w:pPr>
        <w:tabs>
          <w:tab w:val="left" w:pos="6551"/>
        </w:tabs>
        <w:spacing w:after="0" w:line="240" w:lineRule="auto"/>
        <w:ind w:firstLine="720"/>
        <w:jc w:val="both"/>
        <w:rPr>
          <w:rFonts w:ascii="Arial" w:eastAsia="Times New Roman" w:hAnsi="Arial" w:cs="Arial"/>
          <w:sz w:val="18"/>
          <w:szCs w:val="20"/>
        </w:rPr>
      </w:pPr>
      <w:r>
        <w:rPr>
          <w:rFonts w:ascii="Arial" w:eastAsia="Times New Roman" w:hAnsi="Arial" w:cs="Arial"/>
          <w:sz w:val="18"/>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4553A" w:rsidRDefault="00D4553A" w:rsidP="00D4553A">
      <w:pPr>
        <w:tabs>
          <w:tab w:val="left" w:pos="6551"/>
        </w:tabs>
        <w:autoSpaceDE w:val="0"/>
        <w:autoSpaceDN w:val="0"/>
        <w:adjustRightInd w:val="0"/>
        <w:spacing w:after="0" w:line="240" w:lineRule="auto"/>
        <w:rPr>
          <w:rFonts w:ascii="Arial" w:hAnsi="Arial" w:cs="Arial"/>
          <w:sz w:val="18"/>
          <w:szCs w:val="20"/>
        </w:rPr>
      </w:pPr>
      <w:r>
        <w:rPr>
          <w:rFonts w:ascii="Arial" w:hAnsi="Arial" w:cs="Arial"/>
          <w:sz w:val="18"/>
          <w:szCs w:val="20"/>
        </w:rPr>
        <w:tab/>
      </w:r>
      <w:r>
        <w:rPr>
          <w:rFonts w:ascii="Arial" w:hAnsi="Arial" w:cs="Arial"/>
          <w:sz w:val="18"/>
          <w:szCs w:val="20"/>
        </w:rPr>
        <w:tab/>
        <w:t xml:space="preserve">     </w:t>
      </w:r>
      <w:r>
        <w:rPr>
          <w:rFonts w:ascii="Arial" w:hAnsi="Arial" w:cs="Arial"/>
          <w:sz w:val="18"/>
          <w:szCs w:val="20"/>
        </w:rPr>
        <w:tab/>
        <w:t xml:space="preserve">  </w:t>
      </w:r>
    </w:p>
    <w:p w:rsidR="00D4553A" w:rsidRDefault="00D4553A" w:rsidP="00D4553A">
      <w:pPr>
        <w:tabs>
          <w:tab w:val="left" w:pos="6551"/>
        </w:tabs>
        <w:autoSpaceDE w:val="0"/>
        <w:autoSpaceDN w:val="0"/>
        <w:adjustRightInd w:val="0"/>
        <w:spacing w:after="0" w:line="240" w:lineRule="auto"/>
        <w:rPr>
          <w:rFonts w:ascii="Arial" w:hAnsi="Arial" w:cs="Arial"/>
          <w:sz w:val="18"/>
          <w:szCs w:val="20"/>
        </w:rPr>
      </w:pPr>
      <w:r>
        <w:rPr>
          <w:rFonts w:ascii="Arial" w:hAnsi="Arial" w:cs="Arial"/>
          <w:sz w:val="18"/>
          <w:szCs w:val="20"/>
        </w:rPr>
        <w:t xml:space="preserve">                       </w:t>
      </w:r>
    </w:p>
    <w:p w:rsidR="00D4553A" w:rsidRDefault="00D4553A" w:rsidP="00D4553A">
      <w:pPr>
        <w:tabs>
          <w:tab w:val="left" w:pos="6551"/>
        </w:tabs>
        <w:spacing w:after="0" w:line="240" w:lineRule="auto"/>
        <w:ind w:firstLine="720"/>
        <w:rPr>
          <w:rFonts w:ascii="Arial" w:hAnsi="Arial" w:cs="Arial"/>
          <w:sz w:val="14"/>
          <w:szCs w:val="16"/>
        </w:rPr>
      </w:pPr>
      <w:r>
        <w:rPr>
          <w:rFonts w:ascii="Arial" w:hAnsi="Arial" w:cs="Arial"/>
          <w:sz w:val="14"/>
          <w:szCs w:val="16"/>
        </w:rPr>
        <w:t xml:space="preserve">                                                                                              </w:t>
      </w:r>
      <w:r>
        <w:rPr>
          <w:rFonts w:ascii="Arial" w:hAnsi="Arial" w:cs="Arial"/>
          <w:sz w:val="14"/>
          <w:szCs w:val="16"/>
          <w:lang w:val="en-US"/>
        </w:rPr>
        <w:t xml:space="preserve">                          </w:t>
      </w:r>
      <w:r>
        <w:rPr>
          <w:rFonts w:ascii="Arial" w:hAnsi="Arial" w:cs="Arial"/>
          <w:sz w:val="14"/>
          <w:szCs w:val="16"/>
        </w:rPr>
        <w:t xml:space="preserve">                                            </w:t>
      </w:r>
      <w:r>
        <w:rPr>
          <w:rFonts w:ascii="Arial" w:hAnsi="Arial" w:cs="Arial"/>
          <w:sz w:val="14"/>
          <w:szCs w:val="16"/>
          <w:lang w:val="en-US"/>
        </w:rPr>
        <w:t xml:space="preserve"> </w:t>
      </w:r>
      <w:r>
        <w:rPr>
          <w:rFonts w:ascii="Arial" w:hAnsi="Arial" w:cs="Arial"/>
          <w:sz w:val="14"/>
          <w:szCs w:val="16"/>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4553A" w:rsidTr="00D4553A">
        <w:trPr>
          <w:trHeight w:val="851"/>
        </w:trPr>
        <w:tc>
          <w:tcPr>
            <w:tcW w:w="4297" w:type="dxa"/>
            <w:hideMark/>
          </w:tcPr>
          <w:p w:rsidR="00D4553A" w:rsidRDefault="00D4553A">
            <w:pPr>
              <w:pStyle w:val="BodyText"/>
              <w:tabs>
                <w:tab w:val="left" w:pos="6551"/>
              </w:tabs>
              <w:jc w:val="center"/>
              <w:rPr>
                <w:rFonts w:ascii="Arial" w:hAnsi="Arial" w:cs="Arial"/>
                <w:sz w:val="14"/>
                <w:szCs w:val="16"/>
                <w:lang w:val="mk-MK" w:eastAsia="mk-MK"/>
              </w:rPr>
            </w:pPr>
            <w:r>
              <w:rPr>
                <w:rFonts w:ascii="Arial" w:hAnsi="Arial" w:cs="Arial"/>
                <w:sz w:val="14"/>
                <w:szCs w:val="16"/>
                <w:lang w:val="mk-MK" w:eastAsia="mk-MK"/>
              </w:rPr>
              <w:t>Александар Кузмановски</w:t>
            </w:r>
          </w:p>
        </w:tc>
      </w:tr>
    </w:tbl>
    <w:p w:rsidR="00D4553A" w:rsidRDefault="00D4553A" w:rsidP="00D4553A">
      <w:pPr>
        <w:tabs>
          <w:tab w:val="left" w:pos="6551"/>
        </w:tabs>
        <w:autoSpaceDE w:val="0"/>
        <w:autoSpaceDN w:val="0"/>
        <w:adjustRightInd w:val="0"/>
        <w:spacing w:after="0" w:line="240" w:lineRule="auto"/>
        <w:rPr>
          <w:rFonts w:ascii="Arial" w:hAnsi="Arial" w:cs="Arial"/>
          <w:sz w:val="14"/>
          <w:szCs w:val="16"/>
        </w:rPr>
      </w:pPr>
      <w:bookmarkStart w:id="5" w:name="_GoBack"/>
      <w:bookmarkEnd w:id="5"/>
      <w:r>
        <w:rPr>
          <w:rFonts w:ascii="Arial" w:hAnsi="Arial" w:cs="Arial"/>
          <w:sz w:val="14"/>
          <w:szCs w:val="16"/>
        </w:rPr>
        <w:tab/>
        <w:t>доверител</w:t>
      </w:r>
    </w:p>
    <w:p w:rsidR="00D4553A" w:rsidRDefault="00D4553A" w:rsidP="00D4553A">
      <w:pPr>
        <w:tabs>
          <w:tab w:val="left" w:pos="6551"/>
        </w:tabs>
        <w:autoSpaceDE w:val="0"/>
        <w:autoSpaceDN w:val="0"/>
        <w:adjustRightInd w:val="0"/>
        <w:spacing w:after="0" w:line="240" w:lineRule="auto"/>
        <w:rPr>
          <w:rFonts w:ascii="Arial" w:hAnsi="Arial" w:cs="Arial"/>
          <w:sz w:val="14"/>
          <w:szCs w:val="16"/>
        </w:rPr>
      </w:pPr>
      <w:r>
        <w:rPr>
          <w:rFonts w:ascii="Arial" w:hAnsi="Arial" w:cs="Arial"/>
          <w:sz w:val="14"/>
          <w:szCs w:val="16"/>
        </w:rPr>
        <w:tab/>
        <w:t>должник</w:t>
      </w:r>
    </w:p>
    <w:p w:rsidR="00D4553A" w:rsidRDefault="00D4553A" w:rsidP="00D4553A">
      <w:pPr>
        <w:tabs>
          <w:tab w:val="left" w:pos="6551"/>
        </w:tabs>
        <w:autoSpaceDE w:val="0"/>
        <w:autoSpaceDN w:val="0"/>
        <w:adjustRightInd w:val="0"/>
        <w:spacing w:after="0" w:line="240" w:lineRule="auto"/>
        <w:rPr>
          <w:rFonts w:ascii="Arial" w:hAnsi="Arial" w:cs="Arial"/>
          <w:sz w:val="14"/>
          <w:szCs w:val="16"/>
        </w:rPr>
      </w:pPr>
      <w:r>
        <w:rPr>
          <w:rFonts w:ascii="Arial" w:hAnsi="Arial" w:cs="Arial"/>
          <w:sz w:val="14"/>
          <w:szCs w:val="16"/>
        </w:rPr>
        <w:tab/>
        <w:t>Град Гостивар - Сектор за финансии</w:t>
      </w:r>
      <w:r>
        <w:rPr>
          <w:rFonts w:ascii="Arial" w:hAnsi="Arial" w:cs="Arial"/>
          <w:sz w:val="14"/>
          <w:szCs w:val="16"/>
        </w:rPr>
        <w:tab/>
      </w:r>
      <w:r>
        <w:rPr>
          <w:rFonts w:ascii="Arial" w:hAnsi="Arial" w:cs="Arial"/>
          <w:sz w:val="14"/>
          <w:szCs w:val="16"/>
        </w:rPr>
        <w:tab/>
      </w:r>
      <w:r>
        <w:rPr>
          <w:rFonts w:ascii="Arial" w:hAnsi="Arial" w:cs="Arial"/>
          <w:sz w:val="14"/>
          <w:szCs w:val="16"/>
        </w:rPr>
        <w:tab/>
      </w:r>
    </w:p>
    <w:p w:rsidR="00D4553A" w:rsidRDefault="00D4553A" w:rsidP="00D4553A">
      <w:pPr>
        <w:tabs>
          <w:tab w:val="left" w:pos="6551"/>
        </w:tabs>
        <w:autoSpaceDE w:val="0"/>
        <w:autoSpaceDN w:val="0"/>
        <w:adjustRightInd w:val="0"/>
        <w:spacing w:after="0" w:line="240" w:lineRule="auto"/>
        <w:rPr>
          <w:rFonts w:ascii="Arial" w:hAnsi="Arial" w:cs="Arial"/>
          <w:sz w:val="14"/>
          <w:szCs w:val="16"/>
        </w:rPr>
      </w:pPr>
      <w:r>
        <w:rPr>
          <w:rFonts w:ascii="Arial" w:hAnsi="Arial" w:cs="Arial"/>
          <w:sz w:val="14"/>
          <w:szCs w:val="16"/>
        </w:rPr>
        <w:tab/>
        <w:t>Одделение за наплата на даноци,</w:t>
      </w:r>
    </w:p>
    <w:p w:rsidR="00D4553A" w:rsidRDefault="00D4553A" w:rsidP="00D4553A">
      <w:pPr>
        <w:tabs>
          <w:tab w:val="left" w:pos="6551"/>
        </w:tabs>
        <w:autoSpaceDE w:val="0"/>
        <w:autoSpaceDN w:val="0"/>
        <w:adjustRightInd w:val="0"/>
        <w:spacing w:after="0" w:line="240" w:lineRule="auto"/>
        <w:rPr>
          <w:rFonts w:ascii="Arial" w:hAnsi="Arial" w:cs="Arial"/>
          <w:sz w:val="14"/>
          <w:szCs w:val="16"/>
        </w:rPr>
      </w:pPr>
      <w:r>
        <w:rPr>
          <w:rFonts w:ascii="Arial" w:hAnsi="Arial" w:cs="Arial"/>
          <w:sz w:val="14"/>
          <w:szCs w:val="16"/>
        </w:rPr>
        <w:tab/>
        <w:t>такси и други надоместоци</w:t>
      </w:r>
    </w:p>
    <w:p w:rsidR="00D4553A" w:rsidRDefault="00D4553A" w:rsidP="00D4553A">
      <w:pPr>
        <w:tabs>
          <w:tab w:val="left" w:pos="6551"/>
        </w:tabs>
        <w:autoSpaceDE w:val="0"/>
        <w:autoSpaceDN w:val="0"/>
        <w:adjustRightInd w:val="0"/>
        <w:spacing w:after="0" w:line="240" w:lineRule="auto"/>
        <w:jc w:val="right"/>
        <w:rPr>
          <w:rFonts w:ascii="Arial" w:hAnsi="Arial" w:cs="Arial"/>
          <w:sz w:val="14"/>
          <w:szCs w:val="16"/>
        </w:rPr>
      </w:pPr>
      <w:r>
        <w:rPr>
          <w:rFonts w:ascii="Arial" w:hAnsi="Arial" w:cs="Arial"/>
          <w:sz w:val="14"/>
          <w:szCs w:val="16"/>
          <w:lang w:val="en-US"/>
        </w:rPr>
        <w:br w:type="textWrapping" w:clear="all"/>
      </w:r>
      <w:r>
        <w:rPr>
          <w:rFonts w:ascii="Arial" w:hAnsi="Arial" w:cs="Arial"/>
          <w:sz w:val="14"/>
          <w:szCs w:val="16"/>
        </w:rPr>
        <w:t xml:space="preserve">                                                                                                  </w:t>
      </w:r>
      <w:r>
        <w:rPr>
          <w:sz w:val="14"/>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grouping="t"/>
            <o:signatureline v:ext="edit" id="{E5A7D495-EDC8-42ED-9858-9E7224EC361C}" provid="{00000000-0000-0000-0000-000000000000}" signinginstructionsset="t" issignatureline="t"/>
          </v:shape>
        </w:pict>
      </w:r>
    </w:p>
    <w:p w:rsidR="00D4553A" w:rsidRDefault="00D4553A" w:rsidP="00D4553A">
      <w:pPr>
        <w:tabs>
          <w:tab w:val="left" w:pos="6551"/>
        </w:tabs>
        <w:jc w:val="both"/>
        <w:rPr>
          <w:rFonts w:ascii="Arial" w:hAnsi="Arial" w:cs="Arial"/>
          <w:b/>
          <w:sz w:val="14"/>
          <w:szCs w:val="16"/>
          <w:lang w:val="en-US"/>
        </w:rPr>
      </w:pPr>
    </w:p>
    <w:p w:rsidR="00D4553A" w:rsidRDefault="00D4553A" w:rsidP="00D4553A">
      <w:pPr>
        <w:tabs>
          <w:tab w:val="left" w:pos="6551"/>
        </w:tabs>
        <w:spacing w:after="0"/>
        <w:jc w:val="both"/>
        <w:rPr>
          <w:rFonts w:ascii="Arial" w:hAnsi="Arial" w:cs="Arial"/>
          <w:sz w:val="14"/>
          <w:szCs w:val="16"/>
        </w:rPr>
      </w:pPr>
      <w:r>
        <w:rPr>
          <w:rFonts w:ascii="Arial" w:hAnsi="Arial" w:cs="Arial"/>
          <w:b/>
          <w:sz w:val="14"/>
          <w:szCs w:val="16"/>
        </w:rPr>
        <w:t>Правна поука:</w:t>
      </w:r>
      <w:r>
        <w:rPr>
          <w:rFonts w:ascii="Arial" w:hAnsi="Arial" w:cs="Arial"/>
          <w:sz w:val="14"/>
          <w:szCs w:val="16"/>
        </w:rPr>
        <w:t xml:space="preserve"> Против овој налог може да се поднесе приговор до Основниот суд Гостивар согласно одредбите на член 86 од Законот за извршување.</w:t>
      </w:r>
      <w:r>
        <w:rPr>
          <w:rFonts w:ascii="Arial" w:hAnsi="Arial" w:cs="Arial"/>
          <w:b/>
          <w:bCs/>
          <w:sz w:val="14"/>
          <w:szCs w:val="16"/>
        </w:rPr>
        <w:t xml:space="preserve">                                    </w:t>
      </w:r>
      <w:r>
        <w:rPr>
          <w:rFonts w:ascii="Arial" w:hAnsi="Arial" w:cs="Arial"/>
          <w:b/>
          <w:bCs/>
          <w:color w:val="000080"/>
          <w:sz w:val="14"/>
          <w:szCs w:val="16"/>
        </w:rPr>
        <w:t xml:space="preserve">                                                 </w:t>
      </w:r>
    </w:p>
    <w:p w:rsidR="00D4553A" w:rsidRDefault="00D4553A" w:rsidP="00D4553A">
      <w:pPr>
        <w:tabs>
          <w:tab w:val="left" w:pos="6551"/>
        </w:tabs>
        <w:autoSpaceDE w:val="0"/>
        <w:autoSpaceDN w:val="0"/>
        <w:adjustRightInd w:val="0"/>
        <w:spacing w:after="0" w:line="240" w:lineRule="auto"/>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  </w:t>
      </w:r>
    </w:p>
    <w:p w:rsidR="00D4553A" w:rsidRDefault="00D4553A" w:rsidP="00D4553A">
      <w:pPr>
        <w:tabs>
          <w:tab w:val="left" w:pos="6551"/>
        </w:tabs>
        <w:autoSpaceDE w:val="0"/>
        <w:autoSpaceDN w:val="0"/>
        <w:adjustRightInd w:val="0"/>
        <w:spacing w:after="0" w:line="240" w:lineRule="auto"/>
        <w:rPr>
          <w:rFonts w:ascii="Arial" w:hAnsi="Arial" w:cs="Arial"/>
          <w:sz w:val="18"/>
          <w:szCs w:val="20"/>
          <w:lang w:val="en-US"/>
        </w:rPr>
      </w:pPr>
    </w:p>
    <w:p w:rsidR="00D4553A" w:rsidRDefault="00D4553A" w:rsidP="00D4553A">
      <w:pPr>
        <w:tabs>
          <w:tab w:val="left" w:pos="6551"/>
        </w:tabs>
        <w:autoSpaceDE w:val="0"/>
        <w:autoSpaceDN w:val="0"/>
        <w:adjustRightInd w:val="0"/>
        <w:spacing w:after="0" w:line="240" w:lineRule="auto"/>
        <w:rPr>
          <w:rFonts w:ascii="Arial" w:hAnsi="Arial" w:cs="Arial"/>
          <w:sz w:val="18"/>
          <w:szCs w:val="20"/>
        </w:rPr>
      </w:pPr>
    </w:p>
    <w:p w:rsidR="00D4553A" w:rsidRDefault="00D4553A" w:rsidP="00D4553A">
      <w:pPr>
        <w:tabs>
          <w:tab w:val="left" w:pos="6551"/>
        </w:tabs>
        <w:autoSpaceDE w:val="0"/>
        <w:autoSpaceDN w:val="0"/>
        <w:adjustRightInd w:val="0"/>
        <w:spacing w:after="0" w:line="240" w:lineRule="auto"/>
        <w:rPr>
          <w:sz w:val="20"/>
        </w:rPr>
      </w:pPr>
    </w:p>
    <w:p w:rsidR="00840B28" w:rsidRDefault="00840B28"/>
    <w:sectPr w:rsidR="00840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973"/>
    <w:multiLevelType w:val="hybridMultilevel"/>
    <w:tmpl w:val="3FAC3D1C"/>
    <w:lvl w:ilvl="0" w:tplc="F3CA0C6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AC"/>
    <w:rsid w:val="005A34AC"/>
    <w:rsid w:val="00840B28"/>
    <w:rsid w:val="00D455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553A"/>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4553A"/>
    <w:rPr>
      <w:rFonts w:ascii="MAC C Times" w:eastAsia="Times New Roman" w:hAnsi="MAC C Times" w:cs="Times New Roman"/>
      <w:sz w:val="24"/>
      <w:szCs w:val="24"/>
      <w:lang w:val="en-US"/>
    </w:rPr>
  </w:style>
  <w:style w:type="paragraph" w:styleId="ListParagraph">
    <w:name w:val="List Paragraph"/>
    <w:basedOn w:val="Normal"/>
    <w:uiPriority w:val="34"/>
    <w:qFormat/>
    <w:rsid w:val="00D4553A"/>
    <w:pPr>
      <w:ind w:left="720"/>
      <w:contextualSpacing/>
    </w:pPr>
  </w:style>
  <w:style w:type="paragraph" w:styleId="BalloonText">
    <w:name w:val="Balloon Text"/>
    <w:basedOn w:val="Normal"/>
    <w:link w:val="BalloonTextChar"/>
    <w:uiPriority w:val="99"/>
    <w:semiHidden/>
    <w:unhideWhenUsed/>
    <w:rsid w:val="00D4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553A"/>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4553A"/>
    <w:rPr>
      <w:rFonts w:ascii="MAC C Times" w:eastAsia="Times New Roman" w:hAnsi="MAC C Times" w:cs="Times New Roman"/>
      <w:sz w:val="24"/>
      <w:szCs w:val="24"/>
      <w:lang w:val="en-US"/>
    </w:rPr>
  </w:style>
  <w:style w:type="paragraph" w:styleId="ListParagraph">
    <w:name w:val="List Paragraph"/>
    <w:basedOn w:val="Normal"/>
    <w:uiPriority w:val="34"/>
    <w:qFormat/>
    <w:rsid w:val="00D4553A"/>
    <w:pPr>
      <w:ind w:left="720"/>
      <w:contextualSpacing/>
    </w:pPr>
  </w:style>
  <w:style w:type="paragraph" w:styleId="BalloonText">
    <w:name w:val="Balloon Text"/>
    <w:basedOn w:val="Normal"/>
    <w:link w:val="BalloonTextChar"/>
    <w:uiPriority w:val="99"/>
    <w:semiHidden/>
    <w:unhideWhenUsed/>
    <w:rsid w:val="00D4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Izvrsitel Aleksandar</dc:creator>
  <cp:keywords/>
  <dc:description/>
  <cp:lastModifiedBy>Izvrsitel Aleksandar</cp:lastModifiedBy>
  <cp:revision>2</cp:revision>
  <dcterms:created xsi:type="dcterms:W3CDTF">2021-01-27T09:30:00Z</dcterms:created>
  <dcterms:modified xsi:type="dcterms:W3CDTF">2021-01-27T09:30:00Z</dcterms:modified>
</cp:coreProperties>
</file>