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71393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CB61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B6141">
              <w:rPr>
                <w:rFonts w:ascii="Arial" w:hAnsi="Arial" w:cs="Arial"/>
                <w:b/>
              </w:rPr>
              <w:t>Јане</w:t>
            </w:r>
            <w:proofErr w:type="spellEnd"/>
            <w:r w:rsidRPr="00CB61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6141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CB6141" w:rsidRPr="00CB6141">
              <w:rPr>
                <w:rFonts w:ascii="Arial" w:hAnsi="Arial" w:cs="Arial"/>
                <w:b/>
                <w:color w:val="000000"/>
                <w:lang w:val="mk-MK"/>
              </w:rPr>
              <w:t>615/2011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CB61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B6141">
              <w:rPr>
                <w:rFonts w:ascii="Arial" w:hAnsi="Arial" w:cs="Arial"/>
                <w:b/>
              </w:rPr>
              <w:t>Прилеп</w:t>
            </w:r>
            <w:proofErr w:type="spellEnd"/>
            <w:r w:rsidRPr="00CB614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B6141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CB61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B6141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CB614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B6141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A72E9B" w:rsidP="00F225F9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proofErr w:type="gramStart"/>
      <w:r>
        <w:rPr>
          <w:rFonts w:ascii="Arial" w:hAnsi="Arial" w:cs="Arial"/>
        </w:rPr>
        <w:t>.„</w:t>
      </w:r>
      <w:proofErr w:type="spellStart"/>
      <w:proofErr w:type="gramEnd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Душан Паскоски од Прилеп со живеалиште на ул. „Андон Слабејко“ бр. 120, Прилеп, поднесено преку полн. Адв Соња Петреска од Прилеп,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</w:t>
      </w:r>
      <w:proofErr w:type="spellEnd"/>
      <w:r>
        <w:rPr>
          <w:rFonts w:ascii="Arial" w:hAnsi="Arial" w:cs="Arial"/>
          <w:lang w:val="mk-MK"/>
        </w:rPr>
        <w:t>ите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пресуда П.бр. 167/2008 од 24.09.2010 година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Основен суд Прилеп и пресуда Гж.бр. 3526/10 од 05.05.2011 година на Апеласиониот суд Битола,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Цане Костадиноски од Прилеп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ул.„Савкса“ бр.46, Прилеп,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75.028,00 денари, на ден </w:t>
      </w:r>
      <w:r>
        <w:rPr>
          <w:rFonts w:ascii="Arial" w:hAnsi="Arial" w:cs="Arial"/>
        </w:rPr>
        <w:t>30.07.2020</w:t>
      </w:r>
      <w:r>
        <w:rPr>
          <w:rFonts w:ascii="Arial" w:hAnsi="Arial" w:cs="Arial"/>
          <w:lang w:val="mk-MK"/>
        </w:rPr>
        <w:t xml:space="preserve">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F225F9" w:rsidRPr="00AC774B" w:rsidRDefault="00F225F9" w:rsidP="00F225F9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F225F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F225F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F225F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F225F9">
      <w:pPr>
        <w:rPr>
          <w:rFonts w:ascii="Arial" w:hAnsi="Arial" w:cs="Arial"/>
          <w:lang w:val="mk-MK"/>
        </w:rPr>
      </w:pPr>
    </w:p>
    <w:p w:rsidR="004E082B" w:rsidRDefault="00905C7E" w:rsidP="00F225F9">
      <w:pPr>
        <w:ind w:firstLine="720"/>
        <w:jc w:val="both"/>
        <w:rPr>
          <w:rFonts w:ascii="Arial" w:hAnsi="Arial" w:cs="Arial"/>
          <w:lang w:val="mk-MK"/>
        </w:rPr>
      </w:pPr>
      <w:r w:rsidRPr="00A72E9B">
        <w:rPr>
          <w:rFonts w:ascii="Arial" w:hAnsi="Arial" w:cs="Arial"/>
          <w:b/>
          <w:lang w:val="mk-MK"/>
        </w:rPr>
        <w:t xml:space="preserve">СЕ ОПРЕДЕЛУВА </w:t>
      </w:r>
      <w:r w:rsidR="00A72E9B">
        <w:rPr>
          <w:rFonts w:ascii="Arial" w:hAnsi="Arial" w:cs="Arial"/>
          <w:lang w:val="mk-MK"/>
        </w:rPr>
        <w:t xml:space="preserve">прва </w:t>
      </w:r>
      <w:r w:rsidR="0071393A">
        <w:rPr>
          <w:rFonts w:ascii="Arial" w:hAnsi="Arial" w:cs="Arial"/>
          <w:lang w:val="mk-MK"/>
        </w:rPr>
        <w:t>продажба со усно</w:t>
      </w:r>
      <w:r w:rsidRPr="00905C7E">
        <w:rPr>
          <w:rFonts w:ascii="Arial" w:hAnsi="Arial" w:cs="Arial"/>
          <w:lang w:val="mk-MK"/>
        </w:rPr>
        <w:t xml:space="preserve"> јавно наддавање на недвижноста</w:t>
      </w:r>
      <w:r w:rsidR="00A72E9B">
        <w:rPr>
          <w:rFonts w:ascii="Arial" w:hAnsi="Arial" w:cs="Arial"/>
          <w:lang w:val="mk-MK"/>
        </w:rPr>
        <w:t xml:space="preserve"> </w:t>
      </w:r>
      <w:r w:rsidR="004E082B">
        <w:rPr>
          <w:rFonts w:ascii="Arial" w:hAnsi="Arial" w:cs="Arial"/>
          <w:lang w:val="mk-MK"/>
        </w:rPr>
        <w:t>означена како:</w:t>
      </w:r>
    </w:p>
    <w:p w:rsidR="00A72E9B" w:rsidRDefault="00A72E9B" w:rsidP="00A72E9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806"/>
        <w:gridCol w:w="2372"/>
        <w:gridCol w:w="1332"/>
        <w:gridCol w:w="1345"/>
        <w:gridCol w:w="1385"/>
        <w:gridCol w:w="1705"/>
      </w:tblGrid>
      <w:tr w:rsidR="00A72E9B" w:rsidRPr="008B45C0" w:rsidTr="00A72E9B">
        <w:tc>
          <w:tcPr>
            <w:tcW w:w="1118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11" w:type="dxa"/>
            <w:gridSpan w:val="2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974C06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194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A72E9B" w:rsidRPr="008B45C0" w:rsidTr="00A72E9B">
        <w:tc>
          <w:tcPr>
            <w:tcW w:w="1118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833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455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6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211.45</w:t>
            </w:r>
          </w:p>
        </w:tc>
        <w:tc>
          <w:tcPr>
            <w:tcW w:w="1194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A72E9B" w:rsidRPr="008B45C0" w:rsidTr="00A72E9B">
        <w:tc>
          <w:tcPr>
            <w:tcW w:w="1118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833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455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6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207.56</w:t>
            </w:r>
          </w:p>
        </w:tc>
        <w:tc>
          <w:tcPr>
            <w:tcW w:w="1194" w:type="dxa"/>
          </w:tcPr>
          <w:p w:rsidR="00A72E9B" w:rsidRPr="00974C06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A72E9B" w:rsidRDefault="004E082B" w:rsidP="00A72E9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10588 за КО-Прилеп со утврдено право на сосопственост на ½ (една половина) на име на должникот Цане Костадиноски од Прилеп;</w:t>
      </w:r>
    </w:p>
    <w:p w:rsidR="00A72E9B" w:rsidRDefault="00A72E9B" w:rsidP="00A72E9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1743"/>
        <w:gridCol w:w="1103"/>
        <w:gridCol w:w="461"/>
        <w:gridCol w:w="1661"/>
      </w:tblGrid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E10F40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36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59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A72E9B" w:rsidRPr="00DF79D2" w:rsidTr="00A72E9B">
        <w:trPr>
          <w:jc w:val="center"/>
        </w:trPr>
        <w:tc>
          <w:tcPr>
            <w:tcW w:w="1129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/</w:t>
            </w:r>
          </w:p>
        </w:tc>
        <w:tc>
          <w:tcPr>
            <w:tcW w:w="1743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</w:tcPr>
          <w:p w:rsidR="00A72E9B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45</w:t>
            </w:r>
          </w:p>
        </w:tc>
        <w:tc>
          <w:tcPr>
            <w:tcW w:w="1661" w:type="dxa"/>
          </w:tcPr>
          <w:p w:rsidR="00A72E9B" w:rsidRPr="00E10F40" w:rsidRDefault="00A72E9B" w:rsidP="00A72E9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905C7E" w:rsidRPr="00905C7E" w:rsidRDefault="00A72E9B" w:rsidP="004E082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Недвижниот имот е запишан на Имотен лист број 66218 за КО-Прилеп со утврден</w:t>
      </w:r>
      <w:r w:rsidR="004E082B">
        <w:rPr>
          <w:rFonts w:ascii="Arial" w:hAnsi="Arial" w:cs="Arial"/>
          <w:bCs/>
          <w:lang w:val="mk-MK"/>
        </w:rPr>
        <w:t>о право на сопст</w:t>
      </w:r>
      <w:r>
        <w:rPr>
          <w:rFonts w:ascii="Arial" w:hAnsi="Arial" w:cs="Arial"/>
          <w:bCs/>
          <w:lang w:val="mk-MK"/>
        </w:rPr>
        <w:t>веност на име на должникот Цане Костадиноски од Прилеп</w:t>
      </w:r>
      <w:r w:rsidR="004E082B">
        <w:rPr>
          <w:rFonts w:ascii="Arial" w:hAnsi="Arial" w:cs="Arial"/>
          <w:bCs/>
          <w:lang w:val="mk-MK"/>
        </w:rPr>
        <w:t>;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A72E9B" w:rsidRPr="00A72E9B">
        <w:rPr>
          <w:rFonts w:ascii="Arial" w:hAnsi="Arial" w:cs="Arial"/>
          <w:b/>
          <w:lang w:val="ru-RU"/>
        </w:rPr>
        <w:t xml:space="preserve">25.08.2020 </w:t>
      </w:r>
      <w:r w:rsidRPr="00A72E9B">
        <w:rPr>
          <w:rFonts w:ascii="Arial" w:hAnsi="Arial" w:cs="Arial"/>
          <w:b/>
          <w:lang w:val="mk-MK"/>
        </w:rPr>
        <w:t xml:space="preserve">година во </w:t>
      </w:r>
      <w:r w:rsidR="00A72E9B" w:rsidRPr="00A72E9B">
        <w:rPr>
          <w:rFonts w:ascii="Arial" w:hAnsi="Arial" w:cs="Arial"/>
          <w:b/>
          <w:lang w:val="ru-RU"/>
        </w:rPr>
        <w:t xml:space="preserve">10,00 </w:t>
      </w:r>
      <w:r w:rsidRPr="00A72E9B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A72E9B">
        <w:rPr>
          <w:rFonts w:ascii="Arial" w:hAnsi="Arial" w:cs="Arial"/>
          <w:lang w:val="mk-MK"/>
        </w:rPr>
        <w:t xml:space="preserve"> </w:t>
      </w:r>
      <w:proofErr w:type="spellStart"/>
      <w:r w:rsidR="00A72E9B">
        <w:rPr>
          <w:rFonts w:ascii="Arial" w:hAnsi="Arial" w:cs="Arial"/>
        </w:rPr>
        <w:t>Извршител</w:t>
      </w:r>
      <w:proofErr w:type="spellEnd"/>
      <w:r w:rsidR="00A72E9B">
        <w:rPr>
          <w:rFonts w:ascii="Arial" w:hAnsi="Arial" w:cs="Arial"/>
        </w:rPr>
        <w:t xml:space="preserve"> </w:t>
      </w:r>
      <w:proofErr w:type="spellStart"/>
      <w:r w:rsidR="00A72E9B">
        <w:rPr>
          <w:rFonts w:ascii="Arial" w:hAnsi="Arial" w:cs="Arial"/>
        </w:rPr>
        <w:t>Јане</w:t>
      </w:r>
      <w:proofErr w:type="spellEnd"/>
      <w:r w:rsidR="00A72E9B">
        <w:rPr>
          <w:rFonts w:ascii="Arial" w:hAnsi="Arial" w:cs="Arial"/>
        </w:rPr>
        <w:t xml:space="preserve"> </w:t>
      </w:r>
      <w:proofErr w:type="spellStart"/>
      <w:r w:rsidR="00A72E9B">
        <w:rPr>
          <w:rFonts w:ascii="Arial" w:hAnsi="Arial" w:cs="Arial"/>
        </w:rPr>
        <w:t>Митрески</w:t>
      </w:r>
      <w:proofErr w:type="spellEnd"/>
      <w:r w:rsidR="00A72E9B">
        <w:rPr>
          <w:rFonts w:ascii="Arial" w:hAnsi="Arial" w:cs="Arial"/>
        </w:rPr>
        <w:t xml:space="preserve"> </w:t>
      </w:r>
      <w:proofErr w:type="spellStart"/>
      <w:r w:rsidR="00A72E9B">
        <w:rPr>
          <w:rFonts w:ascii="Arial" w:hAnsi="Arial" w:cs="Arial"/>
        </w:rPr>
        <w:t>од</w:t>
      </w:r>
      <w:proofErr w:type="spellEnd"/>
      <w:r w:rsidR="00A72E9B">
        <w:rPr>
          <w:rFonts w:ascii="Arial" w:hAnsi="Arial" w:cs="Arial"/>
        </w:rPr>
        <w:t xml:space="preserve"> </w:t>
      </w:r>
      <w:proofErr w:type="spellStart"/>
      <w:r w:rsidR="00A72E9B">
        <w:rPr>
          <w:rFonts w:ascii="Arial" w:hAnsi="Arial" w:cs="Arial"/>
        </w:rPr>
        <w:t>Прилеп</w:t>
      </w:r>
      <w:proofErr w:type="spellEnd"/>
      <w:r w:rsidR="00A72E9B">
        <w:rPr>
          <w:rFonts w:ascii="Arial" w:hAnsi="Arial" w:cs="Arial"/>
        </w:rPr>
        <w:t xml:space="preserve"> </w:t>
      </w:r>
      <w:proofErr w:type="spellStart"/>
      <w:r w:rsidR="00A72E9B">
        <w:rPr>
          <w:rFonts w:ascii="Arial" w:hAnsi="Arial" w:cs="Arial"/>
        </w:rPr>
        <w:t>ул</w:t>
      </w:r>
      <w:proofErr w:type="spellEnd"/>
      <w:r w:rsidR="00A72E9B">
        <w:rPr>
          <w:rFonts w:ascii="Arial" w:hAnsi="Arial" w:cs="Arial"/>
        </w:rPr>
        <w:t>.„</w:t>
      </w:r>
      <w:proofErr w:type="spellStart"/>
      <w:r w:rsidR="00A72E9B">
        <w:rPr>
          <w:rFonts w:ascii="Arial" w:hAnsi="Arial" w:cs="Arial"/>
        </w:rPr>
        <w:t>Зеленик</w:t>
      </w:r>
      <w:proofErr w:type="spellEnd"/>
      <w:proofErr w:type="gramStart"/>
      <w:r w:rsidR="00A72E9B">
        <w:rPr>
          <w:rFonts w:ascii="Arial" w:hAnsi="Arial" w:cs="Arial"/>
        </w:rPr>
        <w:t>“ бр.3</w:t>
      </w:r>
      <w:proofErr w:type="gramEnd"/>
      <w:r w:rsidR="00A72E9B">
        <w:rPr>
          <w:rFonts w:ascii="Arial" w:hAnsi="Arial" w:cs="Arial"/>
        </w:rPr>
        <w:t>/1</w:t>
      </w:r>
      <w:r w:rsidR="00A72E9B">
        <w:rPr>
          <w:rFonts w:ascii="Arial" w:hAnsi="Arial" w:cs="Arial"/>
          <w:lang w:val="mk-MK"/>
        </w:rPr>
        <w:t>,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A72E9B">
        <w:rPr>
          <w:rFonts w:ascii="Arial" w:hAnsi="Arial" w:cs="Arial"/>
          <w:lang w:val="ru-RU"/>
        </w:rPr>
        <w:t>И.бр.615/2011 од 18.03.2020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A72E9B" w:rsidRPr="005D113E">
        <w:rPr>
          <w:rFonts w:ascii="Arial" w:hAnsi="Arial" w:cs="Arial"/>
          <w:b/>
          <w:lang w:val="mk-MK"/>
        </w:rPr>
        <w:t>3.364.525,00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15EE5" w:rsidRDefault="00905C7E" w:rsidP="00915EE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 w:rsidR="00915EE5">
        <w:rPr>
          <w:rFonts w:ascii="Arial" w:hAnsi="Arial" w:cs="Arial"/>
          <w:lang w:val="mk-MK"/>
        </w:rPr>
        <w:t>н</w:t>
      </w:r>
      <w:r w:rsidRPr="00905C7E">
        <w:rPr>
          <w:rFonts w:ascii="Arial" w:hAnsi="Arial" w:cs="Arial"/>
          <w:lang w:val="mk-MK"/>
        </w:rPr>
        <w:t>е</w:t>
      </w:r>
      <w:r w:rsidR="00915EE5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 товари и службености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336.453,00 денари.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>најдоцна до 24.08.2020 година</w:t>
      </w:r>
      <w:r>
        <w:rPr>
          <w:rFonts w:ascii="Arial" w:hAnsi="Arial" w:cs="Arial"/>
          <w:lang w:val="en-US"/>
        </w:rPr>
        <w:t>.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5EE5" w:rsidRDefault="00915EE5" w:rsidP="00915E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C774B" w:rsidRPr="00AC774B" w:rsidRDefault="00915EE5" w:rsidP="00915E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71393A">
        <w:rPr>
          <w:rFonts w:ascii="Arial" w:hAnsi="Arial" w:cs="Arial"/>
          <w:lang w:val="mk-MK"/>
        </w:rPr>
        <w:t>.</w:t>
      </w:r>
    </w:p>
    <w:p w:rsidR="00A72E9B" w:rsidRDefault="007B46B2" w:rsidP="00A72E9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A72E9B">
        <w:t xml:space="preserve">   </w:t>
      </w:r>
      <w:r w:rsidR="001C1B6A">
        <w:rPr>
          <w:rFonts w:asciiTheme="minorHAnsi" w:hAnsiTheme="minorHAnsi"/>
          <w:lang w:val="mk-MK"/>
        </w:rPr>
        <w:t xml:space="preserve">         </w:t>
      </w:r>
      <w:r w:rsidR="00A72E9B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A72E9B" w:rsidRPr="00840134" w:rsidTr="00A72E9B">
        <w:tc>
          <w:tcPr>
            <w:tcW w:w="5377" w:type="dxa"/>
          </w:tcPr>
          <w:p w:rsidR="00A72E9B" w:rsidRPr="00840134" w:rsidRDefault="00A72E9B" w:rsidP="00A72E9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72E9B" w:rsidRPr="00840134" w:rsidRDefault="00A72E9B" w:rsidP="00A72E9B">
            <w:pPr>
              <w:jc w:val="center"/>
              <w:rPr>
                <w:lang w:val="mk-MK"/>
              </w:rPr>
            </w:pPr>
            <w:r w:rsidRPr="0080117B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72E9B" w:rsidRPr="00A72E9B" w:rsidRDefault="00A72E9B" w:rsidP="0071393A">
      <w:pPr>
        <w:jc w:val="both"/>
        <w:rPr>
          <w:rFonts w:ascii="Arial" w:hAnsi="Arial" w:cs="Arial"/>
          <w:b/>
          <w:bCs/>
          <w:lang w:val="mk-MK"/>
        </w:rPr>
      </w:pPr>
      <w:r>
        <w:rPr>
          <w:lang w:val="mk-MK"/>
        </w:rPr>
        <w:t xml:space="preserve">              </w:t>
      </w:r>
    </w:p>
    <w:p w:rsidR="00905C7E" w:rsidRPr="00905C7E" w:rsidRDefault="00905C7E" w:rsidP="00A72E9B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1C1B6A"/>
    <w:rsid w:val="00285A4E"/>
    <w:rsid w:val="002D6E87"/>
    <w:rsid w:val="00334708"/>
    <w:rsid w:val="003711E6"/>
    <w:rsid w:val="003F4FE9"/>
    <w:rsid w:val="004C7D25"/>
    <w:rsid w:val="004E082B"/>
    <w:rsid w:val="005A129B"/>
    <w:rsid w:val="005B06D5"/>
    <w:rsid w:val="005E2113"/>
    <w:rsid w:val="005E2B25"/>
    <w:rsid w:val="00606449"/>
    <w:rsid w:val="0062796F"/>
    <w:rsid w:val="006808FC"/>
    <w:rsid w:val="006971FC"/>
    <w:rsid w:val="006F51F1"/>
    <w:rsid w:val="0071393A"/>
    <w:rsid w:val="00773850"/>
    <w:rsid w:val="007A2159"/>
    <w:rsid w:val="007B46B2"/>
    <w:rsid w:val="00843B8B"/>
    <w:rsid w:val="008C7246"/>
    <w:rsid w:val="008D2BEA"/>
    <w:rsid w:val="00905C7E"/>
    <w:rsid w:val="00915EE5"/>
    <w:rsid w:val="009576E7"/>
    <w:rsid w:val="00A1680D"/>
    <w:rsid w:val="00A33E8F"/>
    <w:rsid w:val="00A36AF4"/>
    <w:rsid w:val="00A72E9B"/>
    <w:rsid w:val="00AA634A"/>
    <w:rsid w:val="00AC016B"/>
    <w:rsid w:val="00AC774B"/>
    <w:rsid w:val="00AF6DA8"/>
    <w:rsid w:val="00BF4AB8"/>
    <w:rsid w:val="00C557C5"/>
    <w:rsid w:val="00CB6141"/>
    <w:rsid w:val="00D07FD4"/>
    <w:rsid w:val="00D319A6"/>
    <w:rsid w:val="00DE5FF1"/>
    <w:rsid w:val="00E303CD"/>
    <w:rsid w:val="00E81523"/>
    <w:rsid w:val="00EA652F"/>
    <w:rsid w:val="00F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2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5F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2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5F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2020-07-30T11:08:00Z</cp:lastPrinted>
  <dcterms:created xsi:type="dcterms:W3CDTF">2020-07-31T07:21:00Z</dcterms:created>
  <dcterms:modified xsi:type="dcterms:W3CDTF">2020-07-31T07:21:00Z</dcterms:modified>
</cp:coreProperties>
</file>