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9F" w:rsidRPr="0015339F" w:rsidRDefault="0015339F" w:rsidP="00E440FA">
      <w:pPr>
        <w:spacing w:before="240" w:after="12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15339F">
        <w:rPr>
          <w:rFonts w:ascii="Arial" w:eastAsia="Times New Roman" w:hAnsi="Arial" w:cs="Arial"/>
          <w:sz w:val="24"/>
          <w:szCs w:val="24"/>
        </w:rPr>
        <w:t>УСТАВЕН СУД НА РЕПУБЛИКА МАКЕДОНИЈА</w:t>
      </w:r>
    </w:p>
    <w:p w:rsidR="0015339F" w:rsidRPr="0015339F" w:rsidRDefault="0015339F" w:rsidP="001533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Уставниот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Република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Македонија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врз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основа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членовите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110 и 112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Уставот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Република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Македонија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70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Деловникот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Уставниот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Република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Македонија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(„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Службен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весник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Република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Македонија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“ бр.70/1992)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седницата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одржана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15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декември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2010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година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донесе</w:t>
      </w:r>
      <w:proofErr w:type="spellEnd"/>
    </w:p>
    <w:p w:rsidR="0015339F" w:rsidRPr="0015339F" w:rsidRDefault="0015339F" w:rsidP="006C31FC">
      <w:pPr>
        <w:spacing w:before="240" w:after="12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15339F">
        <w:rPr>
          <w:rFonts w:ascii="Arial" w:eastAsia="Times New Roman" w:hAnsi="Arial" w:cs="Arial"/>
          <w:sz w:val="24"/>
          <w:szCs w:val="24"/>
        </w:rPr>
        <w:t>ОДЛУКА</w:t>
      </w:r>
    </w:p>
    <w:p w:rsidR="0015339F" w:rsidRPr="0015339F" w:rsidRDefault="0015339F" w:rsidP="001533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39F">
        <w:rPr>
          <w:rFonts w:ascii="Arial" w:eastAsia="Times New Roman" w:hAnsi="Arial" w:cs="Arial"/>
          <w:sz w:val="24"/>
          <w:szCs w:val="24"/>
        </w:rPr>
        <w:t xml:space="preserve">1. СЕ УКИНУВА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54-д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алинеја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извршување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(„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Службен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весник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Република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Македонија</w:t>
      </w:r>
      <w:proofErr w:type="spellEnd"/>
      <w:proofErr w:type="gramStart"/>
      <w:r w:rsidRPr="0015339F">
        <w:rPr>
          <w:rFonts w:ascii="Arial" w:eastAsia="Times New Roman" w:hAnsi="Arial" w:cs="Arial"/>
          <w:sz w:val="24"/>
          <w:szCs w:val="24"/>
        </w:rPr>
        <w:t xml:space="preserve">“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бр</w:t>
      </w:r>
      <w:proofErr w:type="spellEnd"/>
      <w:proofErr w:type="gramEnd"/>
      <w:r w:rsidRPr="0015339F">
        <w:rPr>
          <w:rFonts w:ascii="Arial" w:eastAsia="Times New Roman" w:hAnsi="Arial" w:cs="Arial"/>
          <w:sz w:val="24"/>
          <w:szCs w:val="24"/>
        </w:rPr>
        <w:t xml:space="preserve">. бр.35/2005, 50/2006, 129/2006, 8/2008, 83/2009 и 50/2010)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53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изменување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дополнување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извршување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(„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Службен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весник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Република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Македонија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“ бр.50/2010).</w:t>
      </w:r>
    </w:p>
    <w:p w:rsidR="0015339F" w:rsidRPr="0015339F" w:rsidRDefault="0015339F" w:rsidP="001533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39F">
        <w:rPr>
          <w:rFonts w:ascii="Arial" w:eastAsia="Times New Roman" w:hAnsi="Arial" w:cs="Arial"/>
          <w:sz w:val="24"/>
          <w:szCs w:val="24"/>
        </w:rPr>
        <w:t xml:space="preserve">2.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Оваа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одлука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произведува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правно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дејство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денот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објавувањето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„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Службен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весник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Република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Македонија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“.</w:t>
      </w:r>
    </w:p>
    <w:p w:rsidR="0015339F" w:rsidRPr="0015339F" w:rsidRDefault="0015339F" w:rsidP="001533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39F">
        <w:rPr>
          <w:rFonts w:ascii="Arial" w:eastAsia="Times New Roman" w:hAnsi="Arial" w:cs="Arial"/>
          <w:sz w:val="24"/>
          <w:szCs w:val="24"/>
        </w:rPr>
        <w:t xml:space="preserve">3.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Уставниот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Република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Македонија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повод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поднесена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иницијатива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Стамен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Филипов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Скопје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Решение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У.бр.96/2010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20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октомври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2010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година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поведе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постапка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оценување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уставноста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членовите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наведени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точката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оваа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одлука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 </w:t>
      </w:r>
      <w:r w:rsidRPr="0015339F">
        <w:rPr>
          <w:rFonts w:ascii="Arial" w:eastAsia="Times New Roman" w:hAnsi="Arial" w:cs="Arial"/>
          <w:sz w:val="24"/>
          <w:szCs w:val="24"/>
        </w:rPr>
        <w:br/>
      </w:r>
      <w:proofErr w:type="spellStart"/>
      <w:proofErr w:type="gramStart"/>
      <w:r w:rsidRPr="0015339F">
        <w:rPr>
          <w:rFonts w:ascii="Arial" w:eastAsia="Times New Roman" w:hAnsi="Arial" w:cs="Arial"/>
          <w:sz w:val="24"/>
          <w:szCs w:val="24"/>
        </w:rPr>
        <w:t>Постапката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беше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поведена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затоа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што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основано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постави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прашањето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согласноста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оспорените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членови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Уставот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15339F" w:rsidRPr="0015339F" w:rsidRDefault="0015339F" w:rsidP="001533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39F">
        <w:rPr>
          <w:rFonts w:ascii="Arial" w:eastAsia="Times New Roman" w:hAnsi="Arial" w:cs="Arial"/>
          <w:sz w:val="24"/>
          <w:szCs w:val="24"/>
        </w:rPr>
        <w:t xml:space="preserve">4.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седницата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утврди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дека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според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54-д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алинеја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извршување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ќе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му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изрече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мерката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трајно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одземање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правото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вршење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должноста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ако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неуредно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несовесно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врши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функцијата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Дисциплинската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комисија. </w:t>
      </w:r>
      <w:r w:rsidRPr="0015339F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53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изменување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дополнување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извршување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предвидува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дека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ако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настане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престанок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должноста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денот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влегувањето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сила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овој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министерот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правда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рок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осум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дена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денот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влегувањето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сила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овој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определува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редот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именуваните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истото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 </w:t>
      </w:r>
      <w:r w:rsidRPr="0015339F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подрачје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којшто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веднаш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ќе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преземе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канцеларијата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должност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престанала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ќе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продолжи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работата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предметите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овластувања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му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припаѓаат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согласно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преземањето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канцеларијата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должност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престанала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страна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определениот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ќе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селекција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предметите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книгите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документите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должност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престанала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страна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Комисијата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формира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министерот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правда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составена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претставник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Министерството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правда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Комората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подрачјето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надлежниот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основен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е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именуван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 </w:t>
      </w:r>
      <w:r w:rsidRPr="0015339F">
        <w:rPr>
          <w:rFonts w:ascii="Arial" w:eastAsia="Times New Roman" w:hAnsi="Arial" w:cs="Arial"/>
          <w:sz w:val="24"/>
          <w:szCs w:val="24"/>
        </w:rPr>
        <w:br/>
      </w:r>
      <w:proofErr w:type="spellStart"/>
      <w:proofErr w:type="gramStart"/>
      <w:r w:rsidRPr="0015339F">
        <w:rPr>
          <w:rFonts w:ascii="Arial" w:eastAsia="Times New Roman" w:hAnsi="Arial" w:cs="Arial"/>
          <w:sz w:val="24"/>
          <w:szCs w:val="24"/>
        </w:rPr>
        <w:t>Претседателот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Комората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решение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ќе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овласти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именуваниот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односно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определениот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располага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посебната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сметка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должност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престанала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15339F" w:rsidRPr="0015339F" w:rsidRDefault="0015339F" w:rsidP="001533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39F">
        <w:rPr>
          <w:rFonts w:ascii="Arial" w:eastAsia="Times New Roman" w:hAnsi="Arial" w:cs="Arial"/>
          <w:sz w:val="24"/>
          <w:szCs w:val="24"/>
        </w:rPr>
        <w:lastRenderedPageBreak/>
        <w:t xml:space="preserve">5.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Владеењето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правото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е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една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темелните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вредности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уставниот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поредок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Република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Македонија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предвидена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8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алинеја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Уставот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 </w:t>
      </w:r>
      <w:r w:rsidRPr="0015339F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Според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23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Уставот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секој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граѓанин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има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учествува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вршењето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јавни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функции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 </w:t>
      </w:r>
      <w:r w:rsidRPr="0015339F">
        <w:rPr>
          <w:rFonts w:ascii="Arial" w:eastAsia="Times New Roman" w:hAnsi="Arial" w:cs="Arial"/>
          <w:sz w:val="24"/>
          <w:szCs w:val="24"/>
        </w:rPr>
        <w:br/>
        <w:t xml:space="preserve">Дисциплинска комисија,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според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59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2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е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орган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Комората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кој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избира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Собранието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Комората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составен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пет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нивни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заменици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мандат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три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години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повторен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избор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според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ставот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4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овој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дисциплинската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комисија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спроведува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дисциплинската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постапка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предлог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овластен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подносител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донесува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одлука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предлогот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начинот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поблиските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услови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врска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работењето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Дисциплинската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комисија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ќе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бидат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уредени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Статутот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другите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акти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Комората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 </w:t>
      </w:r>
      <w:r w:rsidRPr="0015339F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анализата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наведените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законски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одредби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јасно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произлегува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дека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дисциплинската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комисија е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колективно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тело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функционира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врз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база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Статутот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други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акти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комората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Pr="0015339F">
        <w:rPr>
          <w:rFonts w:ascii="Arial" w:eastAsia="Times New Roman" w:hAnsi="Arial" w:cs="Arial"/>
          <w:sz w:val="24"/>
          <w:szCs w:val="24"/>
        </w:rPr>
        <w:t>Оттука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оцени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дека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е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јасно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дејствија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преземени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еден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Комисијата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претставуваат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неуредно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несовесно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вршење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функцијата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Комисијата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ако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има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вид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фактот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дека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станува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збор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колективно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тело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колективна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одлука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15339F">
        <w:rPr>
          <w:rFonts w:ascii="Arial" w:eastAsia="Times New Roman" w:hAnsi="Arial" w:cs="Arial"/>
          <w:sz w:val="24"/>
          <w:szCs w:val="24"/>
        </w:rPr>
        <w:t> </w:t>
      </w:r>
      <w:r w:rsidRPr="0015339F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друга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страна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пак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според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извршувањето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оспорената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мерка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претставува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ограничување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вршење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јавна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функција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што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е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спротивност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23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Уставот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 </w:t>
      </w:r>
      <w:r w:rsidRPr="0015339F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наведените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причини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оцени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дека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оспорениот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54-д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алинеја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е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согласност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8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алинеја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3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23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Уставот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</w:t>
      </w:r>
    </w:p>
    <w:p w:rsidR="0015339F" w:rsidRPr="0015339F" w:rsidRDefault="0015339F" w:rsidP="001533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39F">
        <w:rPr>
          <w:rFonts w:ascii="Arial" w:eastAsia="Times New Roman" w:hAnsi="Arial" w:cs="Arial"/>
          <w:sz w:val="24"/>
          <w:szCs w:val="24"/>
        </w:rPr>
        <w:t xml:space="preserve">6.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Правната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заштита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сопственоста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е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темелна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вредност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уставниот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поредок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согласно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8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алинеја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6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Уставот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 </w:t>
      </w:r>
      <w:r w:rsidRPr="0015339F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Според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30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Уставот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никому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можат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му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бидат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одземени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ограничени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сопственоста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правата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произлегуваат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неа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освен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кога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работи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јавен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интерес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утврден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 </w:t>
      </w:r>
      <w:r w:rsidRPr="0015339F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анализата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законската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одредба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53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изменување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дополнување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извршување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корелација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наводите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иницијативата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 </w:t>
      </w:r>
      <w:r w:rsidRPr="0015339F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оцени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дека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истата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е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согласност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темелната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вредност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уставниот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поредок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правната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заштита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сопственоста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 </w:t>
      </w:r>
      <w:r w:rsidRPr="0015339F">
        <w:rPr>
          <w:rFonts w:ascii="Arial" w:eastAsia="Times New Roman" w:hAnsi="Arial" w:cs="Arial"/>
          <w:sz w:val="24"/>
          <w:szCs w:val="24"/>
        </w:rPr>
        <w:br/>
      </w:r>
      <w:proofErr w:type="spellStart"/>
      <w:proofErr w:type="gramStart"/>
      <w:r w:rsidRPr="0015339F">
        <w:rPr>
          <w:rFonts w:ascii="Arial" w:eastAsia="Times New Roman" w:hAnsi="Arial" w:cs="Arial"/>
          <w:sz w:val="24"/>
          <w:szCs w:val="24"/>
        </w:rPr>
        <w:t>Имено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овластувањето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оспорената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законска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одредба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именуваниот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покрај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работата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предметите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преземе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канцеларијата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му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престанала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должноста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според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повредува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правото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сопственост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15339F">
        <w:rPr>
          <w:rFonts w:ascii="Arial" w:eastAsia="Times New Roman" w:hAnsi="Arial" w:cs="Arial"/>
          <w:sz w:val="24"/>
          <w:szCs w:val="24"/>
        </w:rPr>
        <w:t> </w:t>
      </w:r>
      <w:r w:rsidRPr="0015339F">
        <w:rPr>
          <w:rFonts w:ascii="Arial" w:eastAsia="Times New Roman" w:hAnsi="Arial" w:cs="Arial"/>
          <w:sz w:val="24"/>
          <w:szCs w:val="24"/>
        </w:rPr>
        <w:br/>
      </w:r>
      <w:proofErr w:type="spellStart"/>
      <w:proofErr w:type="gramStart"/>
      <w:r w:rsidRPr="0015339F">
        <w:rPr>
          <w:rFonts w:ascii="Arial" w:eastAsia="Times New Roman" w:hAnsi="Arial" w:cs="Arial"/>
          <w:sz w:val="24"/>
          <w:szCs w:val="24"/>
        </w:rPr>
        <w:t>Ова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причина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што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сопственоста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како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институт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себе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содржи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располагање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држење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користење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стварта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конкретниов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случај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правото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преземањето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канцеларијата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извршителот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должност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престанала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му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попречува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правото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располагање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користење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канцеларијата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е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негова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сопственост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кои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правни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елементи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сопственоста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15339F">
        <w:rPr>
          <w:rFonts w:ascii="Arial" w:eastAsia="Times New Roman" w:hAnsi="Arial" w:cs="Arial"/>
          <w:sz w:val="24"/>
          <w:szCs w:val="24"/>
        </w:rPr>
        <w:t> </w:t>
      </w:r>
      <w:r w:rsidRPr="0015339F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наведените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причини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оцени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дека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оспорениот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53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изменување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дополнување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Законот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извршување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е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согласност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8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алинеја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6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член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30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Уставот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Република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Македонија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</w:t>
      </w:r>
    </w:p>
    <w:p w:rsidR="0015339F" w:rsidRPr="0015339F" w:rsidRDefault="0015339F" w:rsidP="001533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39F">
        <w:rPr>
          <w:rFonts w:ascii="Arial" w:eastAsia="Times New Roman" w:hAnsi="Arial" w:cs="Arial"/>
          <w:sz w:val="24"/>
          <w:szCs w:val="24"/>
        </w:rPr>
        <w:lastRenderedPageBreak/>
        <w:t xml:space="preserve">7.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Врз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основа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изнесеното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одлучи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како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точката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оваа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одлука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</w:t>
      </w:r>
    </w:p>
    <w:p w:rsidR="0015339F" w:rsidRPr="0015339F" w:rsidRDefault="0015339F" w:rsidP="001533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339F">
        <w:rPr>
          <w:rFonts w:ascii="Arial" w:eastAsia="Times New Roman" w:hAnsi="Arial" w:cs="Arial"/>
          <w:sz w:val="24"/>
          <w:szCs w:val="24"/>
        </w:rPr>
        <w:t xml:space="preserve">8.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Оваа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одлука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ја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донесе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состав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претседателот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Судот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Бранко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Наумоски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судиите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д-р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Наташа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Габер-Дамјановска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д-р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Трендафил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Ивановски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Исмаил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Дарлишта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Лилјана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Ингилизова-Ристова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Вера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Маркова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Игор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Спировски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, д-р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Гзиме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Старова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и д-р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Зоран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339F">
        <w:rPr>
          <w:rFonts w:ascii="Arial" w:eastAsia="Times New Roman" w:hAnsi="Arial" w:cs="Arial"/>
          <w:sz w:val="24"/>
          <w:szCs w:val="24"/>
        </w:rPr>
        <w:t>Сулејманов</w:t>
      </w:r>
      <w:proofErr w:type="spellEnd"/>
      <w:r w:rsidRPr="0015339F">
        <w:rPr>
          <w:rFonts w:ascii="Arial" w:eastAsia="Times New Roman" w:hAnsi="Arial" w:cs="Arial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4"/>
        <w:gridCol w:w="210"/>
        <w:gridCol w:w="5130"/>
      </w:tblGrid>
      <w:tr w:rsidR="0015339F" w:rsidRPr="0015339F" w:rsidTr="0015339F">
        <w:tc>
          <w:tcPr>
            <w:tcW w:w="0" w:type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15339F" w:rsidRPr="0015339F" w:rsidRDefault="0015339F" w:rsidP="0015339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5339F">
              <w:rPr>
                <w:rFonts w:ascii="Arial" w:eastAsia="Times New Roman" w:hAnsi="Arial" w:cs="Arial"/>
                <w:sz w:val="24"/>
                <w:szCs w:val="24"/>
              </w:rPr>
              <w:t>У.бр.96/2010</w:t>
            </w:r>
          </w:p>
        </w:tc>
        <w:tc>
          <w:tcPr>
            <w:tcW w:w="0" w:type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15339F" w:rsidRPr="0015339F" w:rsidRDefault="0015339F" w:rsidP="001533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15339F" w:rsidRPr="0015339F" w:rsidRDefault="0015339F" w:rsidP="0015339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5339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>Претседател</w:t>
            </w:r>
            <w:proofErr w:type="spellEnd"/>
          </w:p>
        </w:tc>
      </w:tr>
      <w:tr w:rsidR="0015339F" w:rsidRPr="0015339F" w:rsidTr="0015339F">
        <w:tc>
          <w:tcPr>
            <w:tcW w:w="0" w:type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15339F" w:rsidRPr="0015339F" w:rsidRDefault="0015339F" w:rsidP="0015339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5339F">
              <w:rPr>
                <w:rFonts w:ascii="Arial" w:eastAsia="Times New Roman" w:hAnsi="Arial" w:cs="Arial"/>
                <w:sz w:val="24"/>
                <w:szCs w:val="24"/>
              </w:rPr>
              <w:t xml:space="preserve">15 </w:t>
            </w:r>
            <w:proofErr w:type="spellStart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>декември</w:t>
            </w:r>
            <w:proofErr w:type="spellEnd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 xml:space="preserve"> 2010 </w:t>
            </w:r>
            <w:proofErr w:type="spellStart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0" w:type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15339F" w:rsidRPr="0015339F" w:rsidRDefault="0015339F" w:rsidP="001533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15339F" w:rsidRPr="0015339F" w:rsidRDefault="0015339F" w:rsidP="0015339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5339F">
              <w:rPr>
                <w:rFonts w:ascii="Arial" w:eastAsia="Times New Roman" w:hAnsi="Arial" w:cs="Arial"/>
                <w:sz w:val="24"/>
                <w:szCs w:val="24"/>
              </w:rPr>
              <w:t xml:space="preserve">на </w:t>
            </w:r>
            <w:proofErr w:type="spellStart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>Уставниот</w:t>
            </w:r>
            <w:proofErr w:type="spellEnd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>суд</w:t>
            </w:r>
            <w:proofErr w:type="spellEnd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 xml:space="preserve"> на </w:t>
            </w:r>
            <w:proofErr w:type="spellStart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>Република</w:t>
            </w:r>
            <w:proofErr w:type="spellEnd"/>
          </w:p>
        </w:tc>
      </w:tr>
      <w:tr w:rsidR="0015339F" w:rsidRPr="0015339F" w:rsidTr="0015339F">
        <w:tc>
          <w:tcPr>
            <w:tcW w:w="0" w:type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15339F" w:rsidRPr="0015339F" w:rsidRDefault="0015339F" w:rsidP="0015339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0" w:type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15339F" w:rsidRPr="0015339F" w:rsidRDefault="0015339F" w:rsidP="001533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15339F" w:rsidRPr="0015339F" w:rsidRDefault="0015339F" w:rsidP="0015339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>Македонија</w:t>
            </w:r>
            <w:proofErr w:type="spellEnd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</w:tc>
      </w:tr>
      <w:tr w:rsidR="0015339F" w:rsidRPr="0015339F" w:rsidTr="0015339F">
        <w:tc>
          <w:tcPr>
            <w:tcW w:w="0" w:type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15339F" w:rsidRPr="0015339F" w:rsidRDefault="0015339F" w:rsidP="001533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15339F" w:rsidRPr="0015339F" w:rsidRDefault="0015339F" w:rsidP="001533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15339F" w:rsidRPr="0015339F" w:rsidRDefault="0015339F" w:rsidP="0015339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>Бранко</w:t>
            </w:r>
            <w:proofErr w:type="spellEnd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>Наумоски</w:t>
            </w:r>
            <w:proofErr w:type="spellEnd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>с.р</w:t>
            </w:r>
            <w:proofErr w:type="spellEnd"/>
            <w:r w:rsidRPr="0015339F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</w:tbl>
    <w:p w:rsidR="00E824BE" w:rsidRPr="0015339F" w:rsidRDefault="00E824BE" w:rsidP="0015339F">
      <w:pPr>
        <w:jc w:val="both"/>
        <w:rPr>
          <w:rFonts w:ascii="Arial" w:hAnsi="Arial" w:cs="Arial"/>
          <w:sz w:val="24"/>
          <w:szCs w:val="24"/>
        </w:rPr>
      </w:pPr>
    </w:p>
    <w:sectPr w:rsidR="00E824BE" w:rsidRPr="00153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>
    <w:useFELayout/>
  </w:compat>
  <w:rsids>
    <w:rsidRoot w:val="0015339F"/>
    <w:rsid w:val="0015339F"/>
    <w:rsid w:val="006C31FC"/>
    <w:rsid w:val="00E440FA"/>
    <w:rsid w:val="00E8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53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33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5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533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dcterms:created xsi:type="dcterms:W3CDTF">2013-05-15T18:51:00Z</dcterms:created>
  <dcterms:modified xsi:type="dcterms:W3CDTF">2013-05-15T18:52:00Z</dcterms:modified>
</cp:coreProperties>
</file>