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181"/>
        <w:gridCol w:w="490"/>
        <w:gridCol w:w="822"/>
        <w:gridCol w:w="2749"/>
      </w:tblGrid>
      <w:tr w:rsidR="00314080" w:rsidTr="00E0262E">
        <w:tc>
          <w:tcPr>
            <w:tcW w:w="5181" w:type="dxa"/>
            <w:hideMark/>
          </w:tcPr>
          <w:p w:rsidR="00314080" w:rsidRDefault="00E0262E">
            <w:pPr>
              <w:tabs>
                <w:tab w:val="center" w:pos="2268"/>
              </w:tabs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lang w:val="ru-RU"/>
              </w:rPr>
              <w:t xml:space="preserve">                                                          </w:t>
            </w:r>
            <w:r w:rsidR="00314080">
              <w:rPr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</w:tcPr>
          <w:p w:rsidR="00314080" w:rsidRDefault="00314080">
            <w:pPr>
              <w:tabs>
                <w:tab w:val="center" w:pos="2268"/>
              </w:tabs>
              <w:spacing w:line="276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822" w:type="dxa"/>
          </w:tcPr>
          <w:p w:rsidR="00314080" w:rsidRDefault="00314080">
            <w:pPr>
              <w:tabs>
                <w:tab w:val="center" w:pos="2268"/>
              </w:tabs>
              <w:spacing w:line="276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749" w:type="dxa"/>
          </w:tcPr>
          <w:p w:rsidR="00314080" w:rsidRDefault="00314080">
            <w:pPr>
              <w:tabs>
                <w:tab w:val="center" w:pos="2268"/>
              </w:tabs>
              <w:spacing w:line="276" w:lineRule="auto"/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E0262E" w:rsidRDefault="00E0262E" w:rsidP="00E0262E">
      <w:pPr>
        <w:ind w:left="5760" w:firstLine="720"/>
        <w:jc w:val="both"/>
        <w:rPr>
          <w:rFonts w:ascii="Arial" w:hAnsi="Arial" w:cs="Arial"/>
          <w:b/>
          <w:color w:val="000000"/>
          <w:lang w:val="mk-MK"/>
        </w:rPr>
      </w:pPr>
      <w:r>
        <w:rPr>
          <w:rFonts w:ascii="Arial" w:hAnsi="Arial" w:cs="Arial"/>
          <w:b/>
          <w:color w:val="000000"/>
          <w:lang w:val="mk-MK"/>
        </w:rPr>
        <w:t>И.бр</w:t>
      </w:r>
      <w:r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color w:val="000000"/>
          <w:lang w:val="mk-MK"/>
        </w:rPr>
        <w:t>1082/2014</w:t>
      </w:r>
    </w:p>
    <w:p w:rsidR="00E0262E" w:rsidRDefault="00E0262E" w:rsidP="00314080">
      <w:pPr>
        <w:ind w:firstLine="720"/>
        <w:jc w:val="both"/>
        <w:rPr>
          <w:rFonts w:ascii="Arial" w:hAnsi="Arial" w:cs="Arial"/>
          <w:b/>
          <w:color w:val="000000"/>
          <w:lang w:val="mk-MK"/>
        </w:rPr>
      </w:pPr>
    </w:p>
    <w:p w:rsidR="00314080" w:rsidRDefault="00314080" w:rsidP="00314080">
      <w:pPr>
        <w:ind w:firstLine="720"/>
        <w:jc w:val="both"/>
        <w:rPr>
          <w:rFonts w:ascii="Arial" w:hAnsi="Arial" w:cs="Arial"/>
          <w:u w:val="single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Стопанска банка АД Скопје</w:t>
      </w:r>
      <w:r>
        <w:rPr>
          <w:rFonts w:ascii="Arial" w:hAnsi="Arial" w:cs="Arial"/>
          <w:lang w:val="mk-MK"/>
        </w:rPr>
        <w:t xml:space="preserve"> со седиште на </w:t>
      </w:r>
      <w:r>
        <w:rPr>
          <w:rFonts w:ascii="Arial" w:hAnsi="Arial" w:cs="Arial"/>
          <w:color w:val="000000"/>
          <w:lang w:val="mk-MK" w:eastAsia="mk-MK"/>
        </w:rPr>
        <w:t>Ул.11-ти Октомври бр.7</w:t>
      </w:r>
      <w:r>
        <w:rPr>
          <w:rFonts w:ascii="Arial" w:hAnsi="Arial" w:cs="Arial"/>
          <w:lang w:val="mk-MK"/>
        </w:rPr>
        <w:t xml:space="preserve">, преку полномошник адвокатско друштво Чукиќ и Марков од Скопје, засновано на извршната исправа </w:t>
      </w:r>
      <w:r>
        <w:rPr>
          <w:rFonts w:ascii="Arial" w:hAnsi="Arial" w:cs="Arial"/>
          <w:color w:val="000000"/>
          <w:lang w:val="mk-MK" w:eastAsia="mk-MK"/>
        </w:rPr>
        <w:t>УПДР.бр.1276/12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15.11.2012</w:t>
      </w:r>
      <w:r>
        <w:rPr>
          <w:rFonts w:ascii="Arial" w:hAnsi="Arial" w:cs="Arial"/>
          <w:lang w:val="mk-MK"/>
        </w:rPr>
        <w:t xml:space="preserve"> година на </w:t>
      </w:r>
      <w:r>
        <w:rPr>
          <w:rFonts w:ascii="Arial" w:hAnsi="Arial" w:cs="Arial"/>
          <w:color w:val="000000"/>
          <w:lang w:val="mk-MK" w:eastAsia="mk-MK"/>
        </w:rPr>
        <w:t>Нотар Верица Панова-Стевкова од Струмица</w:t>
      </w:r>
      <w:r>
        <w:rPr>
          <w:rFonts w:ascii="Arial" w:hAnsi="Arial" w:cs="Arial"/>
          <w:lang w:val="mk-MK"/>
        </w:rPr>
        <w:t xml:space="preserve">, против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Виолета Левко Петрова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со живеалиште на </w:t>
      </w:r>
      <w:r>
        <w:rPr>
          <w:rFonts w:ascii="Arial" w:hAnsi="Arial" w:cs="Arial"/>
          <w:color w:val="000000"/>
          <w:lang w:val="mk-MK" w:eastAsia="mk-MK"/>
        </w:rPr>
        <w:t>ул.Ценка Павлова бр.5/14</w:t>
      </w:r>
      <w:r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>
        <w:rPr>
          <w:rFonts w:ascii="Arial" w:hAnsi="Arial" w:cs="Arial"/>
          <w:color w:val="000000"/>
          <w:lang w:val="mk-MK" w:eastAsia="mk-MK"/>
        </w:rPr>
        <w:t>295.000,00 ден.</w:t>
      </w:r>
      <w:r>
        <w:rPr>
          <w:rFonts w:ascii="Arial" w:hAnsi="Arial" w:cs="Arial"/>
          <w:lang w:val="mk-MK"/>
        </w:rPr>
        <w:t>, на ден 1</w:t>
      </w:r>
      <w:r w:rsidR="00DE651B">
        <w:rPr>
          <w:rFonts w:ascii="Arial" w:hAnsi="Arial" w:cs="Arial"/>
          <w:lang w:val="mk-MK"/>
        </w:rPr>
        <w:t>2</w:t>
      </w:r>
      <w:r>
        <w:rPr>
          <w:rFonts w:ascii="Arial" w:hAnsi="Arial" w:cs="Arial"/>
          <w:noProof/>
          <w:lang w:val="en-US"/>
        </w:rPr>
        <w:t>.0</w:t>
      </w:r>
      <w:r w:rsidR="00DE651B">
        <w:rPr>
          <w:rFonts w:ascii="Arial" w:hAnsi="Arial" w:cs="Arial"/>
          <w:noProof/>
          <w:lang w:val="mk-MK"/>
        </w:rPr>
        <w:t>1</w:t>
      </w:r>
      <w:r>
        <w:rPr>
          <w:rFonts w:ascii="Arial" w:hAnsi="Arial" w:cs="Arial"/>
          <w:noProof/>
          <w:lang w:val="en-US"/>
        </w:rPr>
        <w:t>.201</w:t>
      </w:r>
      <w:r w:rsidR="00DE651B">
        <w:rPr>
          <w:rFonts w:ascii="Arial" w:hAnsi="Arial" w:cs="Arial"/>
          <w:noProof/>
          <w:lang w:val="mk-MK"/>
        </w:rPr>
        <w:t>8</w:t>
      </w:r>
      <w:r>
        <w:rPr>
          <w:rFonts w:ascii="Arial" w:hAnsi="Arial" w:cs="Arial"/>
          <w:noProof/>
          <w:lang w:val="en-US"/>
        </w:rPr>
        <w:t xml:space="preserve"> </w:t>
      </w:r>
      <w:r>
        <w:rPr>
          <w:rFonts w:ascii="Arial" w:hAnsi="Arial" w:cs="Arial"/>
          <w:lang w:val="mk-MK"/>
        </w:rPr>
        <w:t>година го донесува следниот:</w:t>
      </w:r>
      <w:r>
        <w:rPr>
          <w:rFonts w:ascii="Arial" w:hAnsi="Arial" w:cs="Arial"/>
          <w:u w:val="single"/>
          <w:lang w:val="mk-MK"/>
        </w:rPr>
        <w:t xml:space="preserve">                                                             </w:t>
      </w:r>
    </w:p>
    <w:p w:rsidR="00314080" w:rsidRDefault="00314080" w:rsidP="00314080">
      <w:pPr>
        <w:rPr>
          <w:rFonts w:ascii="Arial" w:hAnsi="Arial" w:cs="Arial"/>
          <w:lang w:val="mk-MK"/>
        </w:rPr>
      </w:pPr>
      <w:r>
        <w:rPr>
          <w:rFonts w:ascii="Arial" w:hAnsi="Arial" w:cs="Arial"/>
          <w:u w:val="single"/>
          <w:lang w:val="mk-MK"/>
        </w:rPr>
        <w:t xml:space="preserve">        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u w:val="single"/>
          <w:lang w:val="mk-MK"/>
        </w:rPr>
        <w:t xml:space="preserve">                                                                                             </w:t>
      </w:r>
    </w:p>
    <w:p w:rsidR="00314080" w:rsidRDefault="00314080" w:rsidP="00314080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</w:t>
      </w:r>
      <w:r>
        <w:rPr>
          <w:rFonts w:ascii="Arial" w:hAnsi="Arial" w:cs="Arial"/>
          <w:b/>
          <w:lang w:val="mk-MK"/>
        </w:rPr>
        <w:t>З А К Л У Ч О К</w:t>
      </w:r>
    </w:p>
    <w:p w:rsidR="00314080" w:rsidRDefault="00314080" w:rsidP="00314080">
      <w:pPr>
        <w:jc w:val="center"/>
        <w:rPr>
          <w:rFonts w:ascii="Arial" w:hAnsi="Arial" w:cs="Arial"/>
          <w:b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 xml:space="preserve">   ЗА </w:t>
      </w:r>
      <w:r w:rsidR="00DE651B">
        <w:rPr>
          <w:rFonts w:ascii="Arial" w:hAnsi="Arial" w:cs="Arial"/>
          <w:b/>
          <w:sz w:val="20"/>
          <w:lang w:val="mk-MK"/>
        </w:rPr>
        <w:t>ТРЕТА</w:t>
      </w:r>
      <w:r>
        <w:rPr>
          <w:rFonts w:ascii="Arial" w:hAnsi="Arial" w:cs="Arial"/>
          <w:b/>
          <w:sz w:val="20"/>
          <w:lang w:val="mk-MK"/>
        </w:rPr>
        <w:t xml:space="preserve"> УСНА ЈАВНА ПРОДАЖБА</w:t>
      </w:r>
    </w:p>
    <w:p w:rsidR="00314080" w:rsidRDefault="00314080" w:rsidP="00314080">
      <w:pPr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b/>
          <w:sz w:val="20"/>
          <w:lang w:val="mk-MK"/>
        </w:rPr>
        <w:t xml:space="preserve"> </w:t>
      </w:r>
      <w:r>
        <w:rPr>
          <w:rFonts w:ascii="Arial" w:hAnsi="Arial" w:cs="Arial"/>
          <w:b/>
          <w:sz w:val="20"/>
          <w:szCs w:val="20"/>
          <w:lang w:val="mk-MK"/>
        </w:rPr>
        <w:t xml:space="preserve">(врз основа на член 167 став 1, член 169 став 1 и  член 170 став 1 од </w:t>
      </w:r>
      <w:r>
        <w:rPr>
          <w:rFonts w:ascii="Arial" w:hAnsi="Arial" w:cs="Arial"/>
          <w:b/>
          <w:bCs/>
          <w:sz w:val="20"/>
          <w:szCs w:val="20"/>
          <w:lang w:val="mk-MK"/>
        </w:rPr>
        <w:t>Законот за извршување</w:t>
      </w:r>
      <w:r>
        <w:rPr>
          <w:rFonts w:ascii="Arial" w:hAnsi="Arial" w:cs="Arial"/>
          <w:b/>
          <w:sz w:val="20"/>
          <w:szCs w:val="20"/>
          <w:lang w:val="mk-MK"/>
        </w:rPr>
        <w:t>)</w:t>
      </w:r>
    </w:p>
    <w:p w:rsidR="00314080" w:rsidRDefault="00314080" w:rsidP="00314080">
      <w:pPr>
        <w:rPr>
          <w:rFonts w:ascii="Arial" w:hAnsi="Arial" w:cs="Arial"/>
          <w:lang w:val="mk-MK"/>
        </w:rPr>
      </w:pPr>
    </w:p>
    <w:p w:rsidR="00314080" w:rsidRDefault="00314080" w:rsidP="00314080">
      <w:pPr>
        <w:jc w:val="both"/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lang w:val="mk-MK"/>
        </w:rPr>
        <w:tab/>
        <w:t>СЕ ОПРЕДЕЛУВА  продажба со усно  јавно наддавање на недвижноста означена како:</w:t>
      </w:r>
      <w:bookmarkStart w:id="1" w:name="Text19"/>
      <w:r>
        <w:rPr>
          <w:rFonts w:ascii="Arial" w:hAnsi="Arial" w:cs="Arial"/>
          <w:noProof/>
          <w:lang w:val="mk-MK"/>
        </w:rPr>
        <w:t xml:space="preserve">    </w:t>
      </w:r>
    </w:p>
    <w:p w:rsidR="00314080" w:rsidRDefault="00314080" w:rsidP="00314080">
      <w:pPr>
        <w:ind w:firstLine="720"/>
        <w:jc w:val="both"/>
        <w:rPr>
          <w:rFonts w:ascii="Arial" w:hAnsi="Arial" w:cs="Arial"/>
          <w:lang w:val="mk-MK"/>
        </w:rPr>
      </w:pPr>
    </w:p>
    <w:p w:rsidR="00314080" w:rsidRDefault="00314080" w:rsidP="00314080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СТАН изграден на,</w:t>
      </w:r>
    </w:p>
    <w:p w:rsidR="00314080" w:rsidRDefault="00314080" w:rsidP="00314080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</w:t>
      </w:r>
      <w:r>
        <w:rPr>
          <w:rFonts w:ascii="Arial" w:hAnsi="Arial" w:cs="Arial"/>
          <w:bCs/>
          <w:lang w:val="ru-RU"/>
        </w:rPr>
        <w:t>5788</w:t>
      </w:r>
      <w:r>
        <w:rPr>
          <w:rFonts w:ascii="Arial" w:hAnsi="Arial" w:cs="Arial"/>
          <w:bCs/>
          <w:lang w:val="mk-MK"/>
        </w:rPr>
        <w:t xml:space="preserve">, дел </w:t>
      </w:r>
      <w:r>
        <w:rPr>
          <w:rFonts w:ascii="Arial" w:hAnsi="Arial" w:cs="Arial"/>
          <w:bCs/>
          <w:lang w:val="ru-RU"/>
        </w:rPr>
        <w:t>7</w:t>
      </w:r>
      <w:r>
        <w:rPr>
          <w:rFonts w:ascii="Arial" w:hAnsi="Arial" w:cs="Arial"/>
          <w:bCs/>
          <w:lang w:val="mk-MK"/>
        </w:rPr>
        <w:t>, адреса-Ц.ПАВЛОВА 5/14, број на зграда 1, намена на зграда-СТАМБЕНА ЗГРАДА-СТАН, влез 1, кат 03, број 14, со површина од 58 м.кв.,</w:t>
      </w:r>
    </w:p>
    <w:p w:rsidR="00314080" w:rsidRDefault="00314080" w:rsidP="00314080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</w:t>
      </w:r>
      <w:r>
        <w:rPr>
          <w:rFonts w:ascii="Arial" w:hAnsi="Arial" w:cs="Arial"/>
          <w:bCs/>
          <w:lang w:val="ru-RU"/>
        </w:rPr>
        <w:t>5788</w:t>
      </w:r>
      <w:r>
        <w:rPr>
          <w:rFonts w:ascii="Arial" w:hAnsi="Arial" w:cs="Arial"/>
          <w:bCs/>
          <w:lang w:val="mk-MK"/>
        </w:rPr>
        <w:t xml:space="preserve">, дел </w:t>
      </w:r>
      <w:r>
        <w:rPr>
          <w:rFonts w:ascii="Arial" w:hAnsi="Arial" w:cs="Arial"/>
          <w:bCs/>
          <w:lang w:val="ru-RU"/>
        </w:rPr>
        <w:t>7</w:t>
      </w:r>
      <w:r>
        <w:rPr>
          <w:rFonts w:ascii="Arial" w:hAnsi="Arial" w:cs="Arial"/>
          <w:bCs/>
          <w:lang w:val="mk-MK"/>
        </w:rPr>
        <w:t>, адреса-Ц.ПАВЛОВА 5/14, број на зграда 1, намена на зграда-ПОМОШНИ ПРОСТОРИИ, влез 1, кат ПО, број 14, со површина од 5 м.кв.,</w:t>
      </w:r>
    </w:p>
    <w:p w:rsidR="00314080" w:rsidRDefault="00314080" w:rsidP="00314080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запишано во </w:t>
      </w:r>
      <w:r>
        <w:rPr>
          <w:rFonts w:ascii="Arial" w:hAnsi="Arial" w:cs="Arial"/>
          <w:b/>
          <w:bCs/>
          <w:lang w:val="mk-MK"/>
        </w:rPr>
        <w:t xml:space="preserve">имотен лист бр.10974 за КО СТРУМИЦА, </w:t>
      </w:r>
      <w:r>
        <w:rPr>
          <w:rFonts w:ascii="Arial" w:hAnsi="Arial" w:cs="Arial"/>
          <w:bCs/>
          <w:lang w:val="mk-MK"/>
        </w:rPr>
        <w:t>при АКН-Струмица, сопственост на должникот</w:t>
      </w:r>
      <w:r>
        <w:rPr>
          <w:rFonts w:ascii="Arial" w:hAnsi="Arial" w:cs="Arial"/>
          <w:lang w:val="mk-MK"/>
        </w:rPr>
        <w:t xml:space="preserve"> </w:t>
      </w:r>
      <w:r w:rsidRPr="005F45DF">
        <w:rPr>
          <w:rFonts w:ascii="Arial" w:hAnsi="Arial" w:cs="Arial"/>
          <w:b/>
          <w:lang w:val="mk-MK"/>
        </w:rPr>
        <w:t>Виолета Левко Петрова од</w:t>
      </w:r>
      <w:r>
        <w:rPr>
          <w:rFonts w:ascii="Arial" w:hAnsi="Arial" w:cs="Arial"/>
          <w:lang w:val="mk-MK"/>
        </w:rPr>
        <w:t xml:space="preserve"> </w:t>
      </w:r>
      <w:r w:rsidRPr="005F45DF">
        <w:rPr>
          <w:rFonts w:ascii="Arial" w:hAnsi="Arial" w:cs="Arial"/>
          <w:b/>
          <w:lang w:val="mk-MK"/>
        </w:rPr>
        <w:t>Струмица</w:t>
      </w:r>
      <w:r>
        <w:rPr>
          <w:rFonts w:ascii="Arial" w:hAnsi="Arial" w:cs="Arial"/>
          <w:lang w:val="mk-MK"/>
        </w:rPr>
        <w:t>,</w:t>
      </w:r>
    </w:p>
    <w:bookmarkEnd w:id="1"/>
    <w:p w:rsidR="00314080" w:rsidRDefault="00314080" w:rsidP="00314080">
      <w:pPr>
        <w:ind w:firstLine="720"/>
        <w:jc w:val="both"/>
        <w:rPr>
          <w:rFonts w:ascii="Arial" w:hAnsi="Arial" w:cs="Arial"/>
          <w:lang w:val="en-US"/>
        </w:rPr>
      </w:pPr>
    </w:p>
    <w:p w:rsidR="00314080" w:rsidRDefault="00314080" w:rsidP="0031408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noProof/>
          <w:lang w:val="en-US"/>
        </w:rPr>
        <w:t>0</w:t>
      </w:r>
      <w:r w:rsidR="005F45DF">
        <w:rPr>
          <w:rFonts w:ascii="Arial" w:hAnsi="Arial" w:cs="Arial"/>
          <w:b/>
          <w:noProof/>
          <w:lang w:val="mk-MK"/>
        </w:rPr>
        <w:t>2</w:t>
      </w:r>
      <w:r>
        <w:rPr>
          <w:rFonts w:ascii="Arial" w:hAnsi="Arial" w:cs="Arial"/>
          <w:b/>
          <w:noProof/>
          <w:lang w:val="en-US"/>
        </w:rPr>
        <w:t>.0</w:t>
      </w:r>
      <w:r w:rsidR="005F45DF">
        <w:rPr>
          <w:rFonts w:ascii="Arial" w:hAnsi="Arial" w:cs="Arial"/>
          <w:b/>
          <w:noProof/>
          <w:lang w:val="mk-MK"/>
        </w:rPr>
        <w:t>2</w:t>
      </w:r>
      <w:r>
        <w:rPr>
          <w:rFonts w:ascii="Arial" w:hAnsi="Arial" w:cs="Arial"/>
          <w:b/>
          <w:noProof/>
          <w:lang w:val="en-US"/>
        </w:rPr>
        <w:t>.201</w:t>
      </w:r>
      <w:r w:rsidR="005F45DF">
        <w:rPr>
          <w:rFonts w:ascii="Arial" w:hAnsi="Arial" w:cs="Arial"/>
          <w:b/>
          <w:noProof/>
          <w:lang w:val="mk-MK"/>
        </w:rPr>
        <w:t>8</w:t>
      </w:r>
      <w:r>
        <w:rPr>
          <w:rFonts w:ascii="Arial" w:hAnsi="Arial" w:cs="Arial"/>
          <w:b/>
          <w:lang w:val="mk-MK"/>
        </w:rPr>
        <w:t xml:space="preserve"> година во </w:t>
      </w:r>
      <w:r>
        <w:rPr>
          <w:rFonts w:ascii="Arial" w:hAnsi="Arial" w:cs="Arial"/>
          <w:b/>
          <w:noProof/>
          <w:lang w:val="en-US"/>
        </w:rPr>
        <w:t>1</w:t>
      </w:r>
      <w:r w:rsidR="005F45DF">
        <w:rPr>
          <w:rFonts w:ascii="Arial" w:hAnsi="Arial" w:cs="Arial"/>
          <w:b/>
          <w:noProof/>
          <w:lang w:val="mk-MK"/>
        </w:rPr>
        <w:t>3</w:t>
      </w:r>
      <w:r>
        <w:rPr>
          <w:rFonts w:ascii="Arial" w:hAnsi="Arial" w:cs="Arial"/>
          <w:b/>
          <w:noProof/>
          <w:lang w:val="en-US"/>
        </w:rPr>
        <w:t>,00</w:t>
      </w:r>
      <w:r>
        <w:rPr>
          <w:rFonts w:ascii="Arial" w:hAnsi="Arial" w:cs="Arial"/>
          <w:b/>
          <w:lang w:val="mk-MK"/>
        </w:rPr>
        <w:t xml:space="preserve"> часот</w:t>
      </w:r>
      <w:r>
        <w:rPr>
          <w:rFonts w:ascii="Arial" w:hAnsi="Arial" w:cs="Arial"/>
          <w:lang w:val="mk-MK"/>
        </w:rPr>
        <w:t xml:space="preserve">  во просториите на </w:t>
      </w:r>
      <w:bookmarkStart w:id="2" w:name="Text23"/>
      <w:r>
        <w:rPr>
          <w:rFonts w:ascii="Arial" w:hAnsi="Arial" w:cs="Arial"/>
          <w:lang w:val="mk-MK"/>
        </w:rPr>
        <w:t xml:space="preserve">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</w:t>
      </w:r>
      <w:bookmarkEnd w:id="2"/>
      <w:r>
        <w:rPr>
          <w:rFonts w:ascii="Arial" w:hAnsi="Arial" w:cs="Arial"/>
          <w:bCs/>
          <w:color w:val="000000"/>
          <w:lang w:val="en-US" w:eastAsia="mk-MK"/>
        </w:rPr>
        <w:t xml:space="preserve">, </w:t>
      </w:r>
      <w:r>
        <w:rPr>
          <w:rFonts w:ascii="Arial" w:hAnsi="Arial" w:cs="Arial"/>
          <w:bCs/>
          <w:color w:val="000000"/>
          <w:lang w:val="mk-MK" w:eastAsia="mk-MK"/>
        </w:rPr>
        <w:t>ул.Ленинова ГТЦ бр.14/1-13</w:t>
      </w:r>
      <w:r>
        <w:rPr>
          <w:rFonts w:ascii="Arial" w:hAnsi="Arial" w:cs="Arial"/>
          <w:lang w:val="mk-MK"/>
        </w:rPr>
        <w:t xml:space="preserve">. </w:t>
      </w:r>
    </w:p>
    <w:p w:rsidR="00314080" w:rsidRDefault="00314080" w:rsidP="0031408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Почетната вредност на недвижноста, утврдена со заклучок на извршителот И.бр.</w:t>
      </w:r>
      <w:r>
        <w:rPr>
          <w:rFonts w:ascii="Arial" w:hAnsi="Arial" w:cs="Arial"/>
          <w:lang w:val="en-US"/>
        </w:rPr>
        <w:t>1082/201</w:t>
      </w:r>
      <w:r>
        <w:rPr>
          <w:rFonts w:ascii="Arial" w:hAnsi="Arial" w:cs="Arial"/>
          <w:lang w:val="mk-MK"/>
        </w:rPr>
        <w:t>4 од 19</w:t>
      </w:r>
      <w:r>
        <w:rPr>
          <w:rFonts w:ascii="Arial" w:hAnsi="Arial" w:cs="Arial"/>
          <w:lang w:val="en-US"/>
        </w:rPr>
        <w:t>.0</w:t>
      </w:r>
      <w:r>
        <w:rPr>
          <w:rFonts w:ascii="Arial" w:hAnsi="Arial" w:cs="Arial"/>
          <w:lang w:val="mk-MK"/>
        </w:rPr>
        <w:t>6</w:t>
      </w:r>
      <w:r>
        <w:rPr>
          <w:rFonts w:ascii="Arial" w:hAnsi="Arial" w:cs="Arial"/>
          <w:lang w:val="en-US"/>
        </w:rPr>
        <w:t>.2017</w:t>
      </w:r>
      <w:r>
        <w:rPr>
          <w:rFonts w:ascii="Arial" w:hAnsi="Arial" w:cs="Arial"/>
          <w:lang w:val="mk-MK"/>
        </w:rPr>
        <w:t xml:space="preserve"> година, изнесува </w:t>
      </w:r>
      <w:r>
        <w:rPr>
          <w:rFonts w:ascii="Arial" w:hAnsi="Arial" w:cs="Arial"/>
          <w:b/>
          <w:lang w:val="en-US"/>
        </w:rPr>
        <w:t>1.</w:t>
      </w:r>
      <w:r>
        <w:rPr>
          <w:rFonts w:ascii="Arial" w:hAnsi="Arial" w:cs="Arial"/>
          <w:b/>
          <w:lang w:val="mk-MK"/>
        </w:rPr>
        <w:t>480</w:t>
      </w:r>
      <w:r>
        <w:rPr>
          <w:rFonts w:ascii="Arial" w:hAnsi="Arial" w:cs="Arial"/>
          <w:b/>
          <w:lang w:val="en-US"/>
        </w:rPr>
        <w:t>.6</w:t>
      </w:r>
      <w:r>
        <w:rPr>
          <w:rFonts w:ascii="Arial" w:hAnsi="Arial" w:cs="Arial"/>
          <w:b/>
          <w:lang w:val="mk-MK"/>
        </w:rPr>
        <w:t>80,00 денари</w:t>
      </w:r>
      <w:r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 w:rsidR="00A06D84">
        <w:rPr>
          <w:rFonts w:ascii="Arial" w:hAnsi="Arial" w:cs="Arial"/>
          <w:b/>
          <w:lang w:val="mk-MK"/>
        </w:rPr>
        <w:t>третото</w:t>
      </w:r>
      <w:r>
        <w:rPr>
          <w:rFonts w:ascii="Arial" w:hAnsi="Arial" w:cs="Arial"/>
          <w:b/>
          <w:lang w:val="mk-MK"/>
        </w:rPr>
        <w:t xml:space="preserve"> јавно наддавање</w:t>
      </w:r>
      <w:r>
        <w:rPr>
          <w:rFonts w:ascii="Arial" w:hAnsi="Arial" w:cs="Arial"/>
          <w:lang w:val="mk-MK"/>
        </w:rPr>
        <w:t>.</w:t>
      </w:r>
    </w:p>
    <w:p w:rsidR="00314080" w:rsidRDefault="00314080" w:rsidP="0031408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Недвижноста е оптоварена со Налог за извршување врз недвижност, по чие што барање се спроведува ова извршување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60 дена од денот на донесувањето на Заклучокот за продажба,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314080" w:rsidRDefault="00314080" w:rsidP="0031408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јавното наддавање можат да учествуваат само лица кои претходно положиле гаранција која изнесува 1/10</w:t>
      </w:r>
      <w:r w:rsidR="00A06D84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(една десеттина) од утврдената вредност на недвижноста. </w:t>
      </w:r>
    </w:p>
    <w:p w:rsidR="00314080" w:rsidRDefault="00314080" w:rsidP="0031408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mk-MK"/>
        </w:rPr>
        <w:t xml:space="preserve"> 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mk-MK"/>
        </w:rPr>
        <w:t xml:space="preserve">. </w:t>
      </w:r>
    </w:p>
    <w:p w:rsidR="00314080" w:rsidRDefault="00314080" w:rsidP="0031408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314080" w:rsidRDefault="00314080" w:rsidP="0031408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Најповолниот понудувач-купувач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noProof/>
          <w:lang w:val="en-US"/>
        </w:rPr>
        <w:t>15</w:t>
      </w:r>
      <w:r>
        <w:rPr>
          <w:rFonts w:ascii="Arial" w:hAnsi="Arial" w:cs="Arial"/>
          <w:lang w:val="mk-MK"/>
        </w:rPr>
        <w:t xml:space="preserve"> дена од денот на продажбата, во спротивно ќе се определи нова продажба, а од положената гаранција ќе се намират трошоците на новата продажба и ќе се надомести разликата меѓу цената постигната на поранешната и на новата продажба.</w:t>
      </w:r>
    </w:p>
    <w:p w:rsidR="00314080" w:rsidRDefault="00314080" w:rsidP="0031408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ќе се објави во следните средства за јавно информирање-</w:t>
      </w:r>
      <w:bookmarkStart w:id="3" w:name="Text32"/>
      <w:r>
        <w:rPr>
          <w:rFonts w:ascii="Arial" w:hAnsi="Arial" w:cs="Arial"/>
          <w:lang w:val="mk-MK"/>
        </w:rPr>
        <w:t>дневен весник Нова Македонија и електронски на веб страницата на</w:t>
      </w:r>
      <w:bookmarkEnd w:id="3"/>
      <w:r>
        <w:rPr>
          <w:rFonts w:ascii="Arial" w:hAnsi="Arial" w:cs="Arial"/>
          <w:lang w:val="mk-MK"/>
        </w:rPr>
        <w:t xml:space="preserve"> Комората.</w:t>
      </w:r>
    </w:p>
    <w:p w:rsidR="00314080" w:rsidRDefault="00314080" w:rsidP="0031408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314080" w:rsidRDefault="00314080" w:rsidP="00314080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314080" w:rsidRDefault="00314080" w:rsidP="00314080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</w:t>
      </w:r>
      <w:r>
        <w:t xml:space="preserve">   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715"/>
      </w:tblGrid>
      <w:tr w:rsidR="00314080" w:rsidTr="00314080">
        <w:tc>
          <w:tcPr>
            <w:tcW w:w="5377" w:type="dxa"/>
          </w:tcPr>
          <w:p w:rsidR="00314080" w:rsidRDefault="00314080">
            <w:pPr>
              <w:spacing w:line="276" w:lineRule="auto"/>
              <w:jc w:val="both"/>
              <w:rPr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314080" w:rsidRDefault="00314080">
            <w:pPr>
              <w:spacing w:line="276" w:lineRule="auto"/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   Саветка Георгиева</w:t>
            </w:r>
          </w:p>
        </w:tc>
      </w:tr>
    </w:tbl>
    <w:p w:rsidR="00314080" w:rsidRDefault="00314080" w:rsidP="00314080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314080" w:rsidSect="00DE7D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80"/>
    <w:rsid w:val="00314080"/>
    <w:rsid w:val="005D6567"/>
    <w:rsid w:val="005F45DF"/>
    <w:rsid w:val="00A06D84"/>
    <w:rsid w:val="00DE651B"/>
    <w:rsid w:val="00DE7D64"/>
    <w:rsid w:val="00E0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080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314080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314080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080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080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314080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314080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080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Windows User</cp:lastModifiedBy>
  <cp:revision>2</cp:revision>
  <cp:lastPrinted>2018-01-12T14:47:00Z</cp:lastPrinted>
  <dcterms:created xsi:type="dcterms:W3CDTF">2018-01-16T09:54:00Z</dcterms:created>
  <dcterms:modified xsi:type="dcterms:W3CDTF">2018-01-16T09:54:00Z</dcterms:modified>
</cp:coreProperties>
</file>