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Look w:val="04A0" w:firstRow="1" w:lastRow="0" w:firstColumn="1" w:lastColumn="0" w:noHBand="0" w:noVBand="1"/>
      </w:tblPr>
      <w:tblGrid>
        <w:gridCol w:w="498"/>
        <w:gridCol w:w="840"/>
        <w:gridCol w:w="9685"/>
      </w:tblGrid>
      <w:tr w:rsidR="009A5199" w:rsidRPr="009A5199" w:rsidTr="009A5199">
        <w:tc>
          <w:tcPr>
            <w:tcW w:w="498" w:type="dxa"/>
          </w:tcPr>
          <w:p w:rsidR="009A5199" w:rsidRPr="009A5199" w:rsidRDefault="009A51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840" w:type="dxa"/>
          </w:tcPr>
          <w:p w:rsidR="009A5199" w:rsidRPr="009A5199" w:rsidRDefault="009A51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685" w:type="dxa"/>
          </w:tcPr>
          <w:p w:rsidR="009A5199" w:rsidRPr="009A5199" w:rsidRDefault="009A51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</w:tr>
      <w:tr w:rsidR="009A5199" w:rsidRPr="009A5199" w:rsidTr="009A5199">
        <w:tc>
          <w:tcPr>
            <w:tcW w:w="498" w:type="dxa"/>
          </w:tcPr>
          <w:p w:rsidR="009A5199" w:rsidRPr="009A5199" w:rsidRDefault="009A51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840" w:type="dxa"/>
          </w:tcPr>
          <w:p w:rsidR="009A5199" w:rsidRPr="009A5199" w:rsidRDefault="009A51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685" w:type="dxa"/>
            <w:hideMark/>
          </w:tcPr>
          <w:p w:rsidR="009A5199" w:rsidRPr="009A5199" w:rsidRDefault="009A519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  <w:r w:rsidRPr="009A519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 xml:space="preserve">                                                                                                            </w:t>
            </w:r>
            <w:r w:rsidR="00333FD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-US"/>
              </w:rPr>
              <w:t xml:space="preserve">                                     </w:t>
            </w:r>
            <w:r w:rsidRPr="009A519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9A519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И.бр</w:t>
            </w:r>
            <w:r w:rsidRPr="009A5199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 xml:space="preserve">. </w:t>
            </w:r>
            <w:bookmarkStart w:id="1" w:name="Ibr"/>
            <w:bookmarkEnd w:id="1"/>
            <w:r w:rsidRPr="009A5199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 xml:space="preserve">3547/2019 </w:t>
            </w:r>
          </w:p>
        </w:tc>
      </w:tr>
      <w:tr w:rsidR="009A5199" w:rsidRPr="009A5199" w:rsidTr="009A5199">
        <w:tc>
          <w:tcPr>
            <w:tcW w:w="498" w:type="dxa"/>
          </w:tcPr>
          <w:p w:rsidR="009A5199" w:rsidRPr="009A5199" w:rsidRDefault="009A51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  <w:bookmarkStart w:id="2" w:name="OPodracjeSud"/>
            <w:bookmarkEnd w:id="2"/>
          </w:p>
        </w:tc>
        <w:tc>
          <w:tcPr>
            <w:tcW w:w="840" w:type="dxa"/>
          </w:tcPr>
          <w:p w:rsidR="009A5199" w:rsidRPr="009A5199" w:rsidRDefault="009A51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  <w:tc>
          <w:tcPr>
            <w:tcW w:w="9685" w:type="dxa"/>
          </w:tcPr>
          <w:p w:rsidR="009A5199" w:rsidRPr="009A5199" w:rsidRDefault="009A51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val="ru-RU"/>
              </w:rPr>
            </w:pPr>
          </w:p>
        </w:tc>
      </w:tr>
    </w:tbl>
    <w:p w:rsidR="009A5199" w:rsidRPr="009A5199" w:rsidRDefault="009A5199" w:rsidP="009A5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bookmarkStart w:id="3" w:name="OAdresaIzv"/>
      <w:bookmarkStart w:id="4" w:name="tel"/>
      <w:bookmarkEnd w:id="3"/>
      <w:bookmarkEnd w:id="4"/>
      <w:r w:rsidRPr="009A5199">
        <w:rPr>
          <w:rFonts w:ascii="Arial" w:hAnsi="Arial" w:cs="Arial"/>
          <w:sz w:val="19"/>
          <w:szCs w:val="19"/>
        </w:rPr>
        <w:t xml:space="preserve">Извршителот </w:t>
      </w:r>
      <w:bookmarkStart w:id="5" w:name="Izvrsitel"/>
      <w:bookmarkEnd w:id="5"/>
      <w:r w:rsidRPr="009A5199">
        <w:rPr>
          <w:rFonts w:ascii="Arial" w:hAnsi="Arial" w:cs="Arial"/>
          <w:sz w:val="19"/>
          <w:szCs w:val="19"/>
        </w:rPr>
        <w:t xml:space="preserve">Андреја Буневски од </w:t>
      </w:r>
      <w:bookmarkStart w:id="6" w:name="Adresa"/>
      <w:bookmarkEnd w:id="6"/>
      <w:r w:rsidRPr="009A5199">
        <w:rPr>
          <w:rFonts w:ascii="Arial" w:hAnsi="Arial" w:cs="Arial"/>
          <w:sz w:val="19"/>
          <w:szCs w:val="19"/>
        </w:rPr>
        <w:t xml:space="preserve">Скопје, ул.Аминта Трети бр.54, врз основа на барањето за спроведување на извршување од </w:t>
      </w:r>
      <w:bookmarkStart w:id="7" w:name="Doveritel1"/>
      <w:bookmarkEnd w:id="7"/>
      <w:r w:rsidRPr="009A5199">
        <w:rPr>
          <w:rFonts w:ascii="Arial" w:hAnsi="Arial" w:cs="Arial"/>
          <w:sz w:val="19"/>
          <w:szCs w:val="19"/>
        </w:rPr>
        <w:t xml:space="preserve">доверителот Друштво за угостителство, трговија и услуги ДИНЧЕР ГЛОБАЛ ДОО Тетово од </w:t>
      </w:r>
      <w:bookmarkStart w:id="8" w:name="DovGrad1"/>
      <w:bookmarkEnd w:id="8"/>
      <w:r w:rsidRPr="009A5199">
        <w:rPr>
          <w:rFonts w:ascii="Arial" w:hAnsi="Arial" w:cs="Arial"/>
          <w:sz w:val="19"/>
          <w:szCs w:val="19"/>
        </w:rPr>
        <w:t>Тетово</w:t>
      </w:r>
      <w:r w:rsidRPr="009A5199">
        <w:rPr>
          <w:rFonts w:ascii="Arial" w:hAnsi="Arial" w:cs="Arial"/>
          <w:sz w:val="19"/>
          <w:szCs w:val="19"/>
          <w:lang w:val="ru-RU"/>
        </w:rPr>
        <w:t xml:space="preserve"> </w:t>
      </w:r>
      <w:r w:rsidRPr="009A5199">
        <w:rPr>
          <w:rFonts w:ascii="Arial" w:hAnsi="Arial" w:cs="Arial"/>
          <w:sz w:val="19"/>
          <w:szCs w:val="19"/>
        </w:rPr>
        <w:t xml:space="preserve">со </w:t>
      </w:r>
      <w:bookmarkStart w:id="9" w:name="opis_edb1"/>
      <w:bookmarkEnd w:id="9"/>
      <w:r w:rsidRPr="009A5199">
        <w:rPr>
          <w:rFonts w:ascii="Arial" w:hAnsi="Arial" w:cs="Arial"/>
          <w:sz w:val="19"/>
          <w:szCs w:val="19"/>
        </w:rPr>
        <w:t xml:space="preserve">ЕДБ 4028015526730 и ЕМБС 7056249 </w:t>
      </w:r>
      <w:bookmarkStart w:id="10" w:name="edb1"/>
      <w:bookmarkStart w:id="11" w:name="opis_sed1"/>
      <w:bookmarkEnd w:id="10"/>
      <w:bookmarkEnd w:id="11"/>
      <w:r w:rsidRPr="009A5199">
        <w:rPr>
          <w:rFonts w:ascii="Arial" w:hAnsi="Arial" w:cs="Arial"/>
          <w:sz w:val="19"/>
          <w:szCs w:val="19"/>
        </w:rPr>
        <w:t xml:space="preserve">и седиште на </w:t>
      </w:r>
      <w:bookmarkStart w:id="12" w:name="adresa1"/>
      <w:bookmarkEnd w:id="12"/>
      <w:r w:rsidRPr="009A5199">
        <w:rPr>
          <w:rFonts w:ascii="Arial" w:hAnsi="Arial" w:cs="Arial"/>
          <w:sz w:val="19"/>
          <w:szCs w:val="19"/>
        </w:rPr>
        <w:t>ВИДОЕ СМИЛЕВСКИ БАТО 1/1-лок3</w:t>
      </w:r>
      <w:r w:rsidRPr="009A5199">
        <w:rPr>
          <w:rFonts w:ascii="Arial" w:hAnsi="Arial" w:cs="Arial"/>
          <w:sz w:val="19"/>
          <w:szCs w:val="19"/>
          <w:lang w:val="ru-RU"/>
        </w:rPr>
        <w:t>,</w:t>
      </w:r>
      <w:r w:rsidRPr="009A5199">
        <w:rPr>
          <w:rFonts w:ascii="Arial" w:hAnsi="Arial" w:cs="Arial"/>
          <w:sz w:val="19"/>
          <w:szCs w:val="19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9A5199">
        <w:rPr>
          <w:rFonts w:ascii="Arial" w:hAnsi="Arial" w:cs="Arial"/>
          <w:sz w:val="19"/>
          <w:szCs w:val="19"/>
        </w:rPr>
        <w:t xml:space="preserve">преку полномошник Адвокат Миле Ангеловски засновано на извршната исправа </w:t>
      </w:r>
      <w:bookmarkStart w:id="17" w:name="IzvIsprava"/>
      <w:bookmarkEnd w:id="17"/>
      <w:r w:rsidRPr="009A5199">
        <w:rPr>
          <w:rFonts w:ascii="Arial" w:hAnsi="Arial" w:cs="Arial"/>
          <w:sz w:val="19"/>
          <w:szCs w:val="19"/>
        </w:rPr>
        <w:t xml:space="preserve">Солемнизација ОДУ бр. 545/17 од 20.12.2017 година на Нотар Силвана Шандуловска од Скопје, против </w:t>
      </w:r>
      <w:bookmarkStart w:id="18" w:name="Dolznik1"/>
      <w:bookmarkEnd w:id="18"/>
      <w:r w:rsidRPr="009A5199">
        <w:rPr>
          <w:rFonts w:ascii="Arial" w:hAnsi="Arial" w:cs="Arial"/>
          <w:sz w:val="19"/>
          <w:szCs w:val="19"/>
        </w:rPr>
        <w:t xml:space="preserve">должниците Горан Симјаноски од </w:t>
      </w:r>
      <w:bookmarkStart w:id="19" w:name="DolzGrad1"/>
      <w:bookmarkEnd w:id="19"/>
      <w:r w:rsidRPr="009A5199">
        <w:rPr>
          <w:rFonts w:ascii="Arial" w:hAnsi="Arial" w:cs="Arial"/>
          <w:sz w:val="19"/>
          <w:szCs w:val="19"/>
        </w:rPr>
        <w:t xml:space="preserve">Тетово со </w:t>
      </w:r>
      <w:bookmarkStart w:id="20" w:name="opis_edb1_dolz"/>
      <w:bookmarkEnd w:id="20"/>
      <w:r w:rsidRPr="009A5199">
        <w:rPr>
          <w:rFonts w:ascii="Arial" w:hAnsi="Arial" w:cs="Arial"/>
          <w:sz w:val="19"/>
          <w:szCs w:val="19"/>
        </w:rPr>
        <w:t xml:space="preserve">живеалиште на ул. Браќа Стефановиќ бр.10 Брвеница </w:t>
      </w:r>
      <w:bookmarkStart w:id="21" w:name="Dolznik2"/>
      <w:bookmarkEnd w:id="21"/>
      <w:r w:rsidRPr="009A5199">
        <w:rPr>
          <w:rFonts w:ascii="Arial" w:hAnsi="Arial" w:cs="Arial"/>
          <w:sz w:val="19"/>
          <w:szCs w:val="19"/>
        </w:rPr>
        <w:t>и Друштво за производство, трговија и услуги АКСИОС ДМС ДОО увоз-извоз Брвеница, Брвеница од Брвеница со ЕДБ 4030007629274 и ЕМБС 6210716 и седиште на МАРШАЛ ТИТО 44, за спроведување на извршување</w:t>
      </w:r>
      <w:r w:rsidRPr="009A5199">
        <w:rPr>
          <w:rFonts w:ascii="Arial" w:hAnsi="Arial" w:cs="Arial"/>
          <w:sz w:val="19"/>
          <w:szCs w:val="19"/>
          <w:lang w:val="en-US"/>
        </w:rPr>
        <w:t>,</w:t>
      </w:r>
      <w:bookmarkStart w:id="22" w:name="VredPredmet"/>
      <w:bookmarkEnd w:id="22"/>
      <w:r w:rsidRPr="009A5199">
        <w:rPr>
          <w:rFonts w:ascii="Arial" w:hAnsi="Arial" w:cs="Arial"/>
          <w:sz w:val="19"/>
          <w:szCs w:val="19"/>
        </w:rPr>
        <w:t xml:space="preserve"> на ден </w:t>
      </w:r>
      <w:bookmarkStart w:id="23" w:name="DatumIzdava"/>
      <w:bookmarkEnd w:id="23"/>
      <w:r w:rsidRPr="009A5199">
        <w:rPr>
          <w:rFonts w:ascii="Arial" w:hAnsi="Arial" w:cs="Arial"/>
          <w:sz w:val="19"/>
          <w:szCs w:val="19"/>
        </w:rPr>
        <w:t>22.10.2019 година го донесува следниот:</w:t>
      </w:r>
    </w:p>
    <w:p w:rsidR="009A5199" w:rsidRPr="009A5199" w:rsidRDefault="009A5199" w:rsidP="009A5199">
      <w:pPr>
        <w:spacing w:after="0"/>
        <w:jc w:val="center"/>
        <w:rPr>
          <w:rFonts w:ascii="Arial" w:hAnsi="Arial" w:cs="Arial"/>
          <w:b/>
          <w:sz w:val="19"/>
          <w:szCs w:val="19"/>
        </w:rPr>
      </w:pPr>
    </w:p>
    <w:p w:rsidR="009A5199" w:rsidRPr="009A5199" w:rsidRDefault="009A5199" w:rsidP="009A5199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9A5199">
        <w:rPr>
          <w:rFonts w:ascii="Arial" w:hAnsi="Arial" w:cs="Arial"/>
          <w:b/>
          <w:sz w:val="19"/>
          <w:szCs w:val="19"/>
        </w:rPr>
        <w:t>З А К Л У Ч О К</w:t>
      </w:r>
    </w:p>
    <w:p w:rsidR="009A5199" w:rsidRPr="009A5199" w:rsidRDefault="009A5199" w:rsidP="009A5199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9A5199">
        <w:rPr>
          <w:rFonts w:ascii="Arial" w:hAnsi="Arial" w:cs="Arial"/>
          <w:b/>
          <w:sz w:val="19"/>
          <w:szCs w:val="19"/>
        </w:rPr>
        <w:t>ЗА УСНА ЈАВНА ПРОДАЖБА</w:t>
      </w:r>
    </w:p>
    <w:p w:rsidR="009A5199" w:rsidRPr="009A5199" w:rsidRDefault="009A5199" w:rsidP="009A5199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9A5199">
        <w:rPr>
          <w:rFonts w:ascii="Arial" w:hAnsi="Arial" w:cs="Arial"/>
          <w:b/>
          <w:sz w:val="19"/>
          <w:szCs w:val="19"/>
        </w:rPr>
        <w:t xml:space="preserve">(врз основа на членовите 179 став (1), 181 став (1) и 182 став (1) од </w:t>
      </w:r>
      <w:r w:rsidRPr="009A5199">
        <w:rPr>
          <w:rFonts w:ascii="Arial" w:hAnsi="Arial" w:cs="Arial"/>
          <w:b/>
          <w:bCs/>
          <w:sz w:val="19"/>
          <w:szCs w:val="19"/>
        </w:rPr>
        <w:t>Законот за извршување</w:t>
      </w:r>
      <w:r w:rsidRPr="009A5199">
        <w:rPr>
          <w:rFonts w:ascii="Arial" w:hAnsi="Arial" w:cs="Arial"/>
          <w:b/>
          <w:sz w:val="19"/>
          <w:szCs w:val="19"/>
        </w:rPr>
        <w:t>)</w:t>
      </w:r>
    </w:p>
    <w:p w:rsidR="009A5199" w:rsidRPr="009A5199" w:rsidRDefault="009A5199" w:rsidP="009A5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9A5199">
        <w:rPr>
          <w:rFonts w:ascii="Arial" w:hAnsi="Arial" w:cs="Arial"/>
          <w:sz w:val="19"/>
          <w:szCs w:val="19"/>
        </w:rPr>
        <w:t xml:space="preserve"> </w:t>
      </w:r>
    </w:p>
    <w:p w:rsidR="009A5199" w:rsidRPr="009A5199" w:rsidRDefault="009A5199" w:rsidP="009A5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9A5199">
        <w:rPr>
          <w:rFonts w:ascii="Arial" w:hAnsi="Arial" w:cs="Arial"/>
          <w:sz w:val="19"/>
          <w:szCs w:val="19"/>
        </w:rPr>
        <w:t>СЕ ОПРЕДЕЛУВА прва продажба со усно јавно наддавање на недвижностите, и тоа:</w:t>
      </w:r>
    </w:p>
    <w:p w:rsidR="009A5199" w:rsidRPr="009A5199" w:rsidRDefault="009A5199" w:rsidP="009A5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9A5199" w:rsidRPr="009A5199" w:rsidRDefault="009A5199" w:rsidP="009A51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A5199">
        <w:rPr>
          <w:rFonts w:ascii="Arial" w:hAnsi="Arial" w:cs="Arial"/>
          <w:sz w:val="19"/>
          <w:szCs w:val="19"/>
        </w:rPr>
        <w:t>недвижност запишана во имотен лист бр.76 КО Здуње при АКН на РСМ – ЦКН Македонски брод со следните ознаки</w:t>
      </w:r>
      <w:r w:rsidRPr="009A5199">
        <w:rPr>
          <w:rFonts w:ascii="Arial" w:hAnsi="Arial" w:cs="Arial"/>
          <w:sz w:val="19"/>
          <w:szCs w:val="19"/>
          <w:lang w:val="ru-RU"/>
        </w:rPr>
        <w:t xml:space="preserve">: </w:t>
      </w:r>
      <w:r w:rsidRPr="009A5199">
        <w:rPr>
          <w:rFonts w:ascii="Arial" w:hAnsi="Arial" w:cs="Arial"/>
          <w:sz w:val="19"/>
          <w:szCs w:val="19"/>
        </w:rPr>
        <w:t>НИВА</w:t>
      </w:r>
      <w:r w:rsidRPr="009A5199">
        <w:rPr>
          <w:rFonts w:ascii="Arial" w:hAnsi="Arial" w:cs="Arial"/>
          <w:sz w:val="19"/>
          <w:szCs w:val="19"/>
          <w:lang w:val="ru-RU"/>
        </w:rPr>
        <w:t xml:space="preserve"> со вкупна површина од 385</w:t>
      </w:r>
      <w:r w:rsidRPr="009A5199">
        <w:rPr>
          <w:rFonts w:ascii="Arial" w:hAnsi="Arial" w:cs="Arial"/>
          <w:sz w:val="19"/>
          <w:szCs w:val="19"/>
        </w:rPr>
        <w:t xml:space="preserve"> м² која лежи на КП бр.1174 ДЕЛ 3 викано место Дагроец, класа 7 запишана во Имотен лист бр.76</w:t>
      </w:r>
      <w:r w:rsidRPr="009A5199">
        <w:rPr>
          <w:rFonts w:ascii="Arial" w:hAnsi="Arial" w:cs="Arial"/>
          <w:sz w:val="19"/>
          <w:szCs w:val="19"/>
          <w:lang w:val="en-US"/>
        </w:rPr>
        <w:t xml:space="preserve"> </w:t>
      </w:r>
      <w:r w:rsidRPr="009A5199">
        <w:rPr>
          <w:rFonts w:ascii="Arial" w:hAnsi="Arial" w:cs="Arial"/>
          <w:sz w:val="19"/>
          <w:szCs w:val="19"/>
        </w:rPr>
        <w:t xml:space="preserve">КО Здуње при АКН на РМ – ЦКН Македонски брод; ЛИВАДА </w:t>
      </w:r>
      <w:r w:rsidRPr="009A5199">
        <w:rPr>
          <w:rFonts w:ascii="Arial" w:hAnsi="Arial" w:cs="Arial"/>
          <w:sz w:val="19"/>
          <w:szCs w:val="19"/>
          <w:lang w:val="ru-RU"/>
        </w:rPr>
        <w:t xml:space="preserve"> со вкупна површина од 891</w:t>
      </w:r>
      <w:r w:rsidRPr="009A5199">
        <w:rPr>
          <w:rFonts w:ascii="Arial" w:hAnsi="Arial" w:cs="Arial"/>
          <w:sz w:val="19"/>
          <w:szCs w:val="19"/>
        </w:rPr>
        <w:t xml:space="preserve"> м² која лежи на КП бр.1188 викано место ЈАСТРЕГЕЦ, класа 6 запишана во Имотен лист бр.76</w:t>
      </w:r>
      <w:r w:rsidRPr="009A5199">
        <w:rPr>
          <w:rFonts w:ascii="Arial" w:hAnsi="Arial" w:cs="Arial"/>
          <w:sz w:val="19"/>
          <w:szCs w:val="19"/>
          <w:lang w:val="en-US"/>
        </w:rPr>
        <w:t xml:space="preserve"> </w:t>
      </w:r>
      <w:r w:rsidRPr="009A5199">
        <w:rPr>
          <w:rFonts w:ascii="Arial" w:hAnsi="Arial" w:cs="Arial"/>
          <w:sz w:val="19"/>
          <w:szCs w:val="19"/>
        </w:rPr>
        <w:t xml:space="preserve">КО Здуње при АКН на РМ – ЦКН Македонски брод; ЛИВАДА </w:t>
      </w:r>
      <w:r w:rsidRPr="009A5199">
        <w:rPr>
          <w:rFonts w:ascii="Arial" w:hAnsi="Arial" w:cs="Arial"/>
          <w:sz w:val="19"/>
          <w:szCs w:val="19"/>
          <w:lang w:val="ru-RU"/>
        </w:rPr>
        <w:t xml:space="preserve"> со вкупна површина од 3585</w:t>
      </w:r>
      <w:r w:rsidRPr="009A5199">
        <w:rPr>
          <w:rFonts w:ascii="Arial" w:hAnsi="Arial" w:cs="Arial"/>
          <w:sz w:val="19"/>
          <w:szCs w:val="19"/>
        </w:rPr>
        <w:t xml:space="preserve"> м² која лежи на КП бр.1245 ДЕЛ 2 викано место Даброец, класа 6 запишана во Имотен лист бр.76</w:t>
      </w:r>
      <w:r w:rsidRPr="009A5199">
        <w:rPr>
          <w:rFonts w:ascii="Arial" w:hAnsi="Arial" w:cs="Arial"/>
          <w:sz w:val="19"/>
          <w:szCs w:val="19"/>
          <w:lang w:val="en-US"/>
        </w:rPr>
        <w:t xml:space="preserve"> </w:t>
      </w:r>
      <w:r w:rsidRPr="009A5199">
        <w:rPr>
          <w:rFonts w:ascii="Arial" w:hAnsi="Arial" w:cs="Arial"/>
          <w:sz w:val="19"/>
          <w:szCs w:val="19"/>
        </w:rPr>
        <w:t>КО Здуње при АКН на РМ – ЦКН Македонски брод; ШУМА</w:t>
      </w:r>
      <w:r w:rsidRPr="009A5199">
        <w:rPr>
          <w:rFonts w:ascii="Arial" w:hAnsi="Arial" w:cs="Arial"/>
          <w:sz w:val="19"/>
          <w:szCs w:val="19"/>
          <w:lang w:val="ru-RU"/>
        </w:rPr>
        <w:t xml:space="preserve"> со вкупна површина од 1896</w:t>
      </w:r>
      <w:r w:rsidRPr="009A5199">
        <w:rPr>
          <w:rFonts w:ascii="Arial" w:hAnsi="Arial" w:cs="Arial"/>
          <w:sz w:val="19"/>
          <w:szCs w:val="19"/>
        </w:rPr>
        <w:t xml:space="preserve"> м² која лежи на КП бр.89 ДЕЛ 2 викано место ДОНЧЕВО ТРЛО, класа 7 запишана во Имотен лист бр.76</w:t>
      </w:r>
      <w:r w:rsidRPr="009A5199">
        <w:rPr>
          <w:rFonts w:ascii="Arial" w:hAnsi="Arial" w:cs="Arial"/>
          <w:sz w:val="19"/>
          <w:szCs w:val="19"/>
          <w:lang w:val="en-US"/>
        </w:rPr>
        <w:t xml:space="preserve"> </w:t>
      </w:r>
      <w:r w:rsidRPr="009A5199">
        <w:rPr>
          <w:rFonts w:ascii="Arial" w:hAnsi="Arial" w:cs="Arial"/>
          <w:sz w:val="19"/>
          <w:szCs w:val="19"/>
        </w:rPr>
        <w:t xml:space="preserve">КО Здуње при АКН на РМ – ЦКН Македонски Брод, и </w:t>
      </w:r>
    </w:p>
    <w:p w:rsidR="009A5199" w:rsidRPr="009A5199" w:rsidRDefault="009A5199" w:rsidP="009A51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A5199">
        <w:rPr>
          <w:rFonts w:ascii="Arial" w:hAnsi="Arial" w:cs="Arial"/>
          <w:sz w:val="19"/>
          <w:szCs w:val="19"/>
        </w:rPr>
        <w:t>недвижност запишана во имотен лист бр.1950 КО Брвеница при АКН на РСМ – ЦКН Тетово со следните ознаки</w:t>
      </w:r>
      <w:r w:rsidRPr="009A5199">
        <w:rPr>
          <w:rFonts w:ascii="Arial" w:hAnsi="Arial" w:cs="Arial"/>
          <w:sz w:val="19"/>
          <w:szCs w:val="19"/>
          <w:lang w:val="ru-RU"/>
        </w:rPr>
        <w:t xml:space="preserve">: </w:t>
      </w:r>
      <w:r w:rsidRPr="009A5199">
        <w:rPr>
          <w:rFonts w:ascii="Arial" w:hAnsi="Arial" w:cs="Arial"/>
          <w:sz w:val="19"/>
          <w:szCs w:val="19"/>
        </w:rPr>
        <w:t>плодни земјишта овоштарник</w:t>
      </w:r>
      <w:r w:rsidRPr="009A5199">
        <w:rPr>
          <w:rFonts w:ascii="Arial" w:hAnsi="Arial" w:cs="Arial"/>
          <w:sz w:val="19"/>
          <w:szCs w:val="19"/>
          <w:lang w:val="ru-RU"/>
        </w:rPr>
        <w:t xml:space="preserve"> со вкупна површина од 22</w:t>
      </w:r>
      <w:r w:rsidRPr="009A5199">
        <w:rPr>
          <w:rFonts w:ascii="Arial" w:hAnsi="Arial" w:cs="Arial"/>
          <w:sz w:val="19"/>
          <w:szCs w:val="19"/>
        </w:rPr>
        <w:t xml:space="preserve"> м² која лежи на КП бр.259 ДЕЛ 2 викано место Село, класа 5 запишана во Имотен лист бр.1950</w:t>
      </w:r>
      <w:r w:rsidRPr="009A5199">
        <w:rPr>
          <w:rFonts w:ascii="Arial" w:hAnsi="Arial" w:cs="Arial"/>
          <w:sz w:val="19"/>
          <w:szCs w:val="19"/>
          <w:lang w:val="en-US"/>
        </w:rPr>
        <w:t xml:space="preserve"> </w:t>
      </w:r>
      <w:r w:rsidRPr="009A5199">
        <w:rPr>
          <w:rFonts w:ascii="Arial" w:hAnsi="Arial" w:cs="Arial"/>
          <w:sz w:val="19"/>
          <w:szCs w:val="19"/>
        </w:rPr>
        <w:t xml:space="preserve">КО Брвеница при АКН на РМ – ЦКН Тетово; плодни земјишта нива </w:t>
      </w:r>
      <w:r w:rsidRPr="009A5199">
        <w:rPr>
          <w:rFonts w:ascii="Arial" w:hAnsi="Arial" w:cs="Arial"/>
          <w:sz w:val="19"/>
          <w:szCs w:val="19"/>
          <w:lang w:val="ru-RU"/>
        </w:rPr>
        <w:t>со вкупна површина од 137</w:t>
      </w:r>
      <w:r w:rsidRPr="009A5199">
        <w:rPr>
          <w:rFonts w:ascii="Arial" w:hAnsi="Arial" w:cs="Arial"/>
          <w:sz w:val="19"/>
          <w:szCs w:val="19"/>
        </w:rPr>
        <w:t xml:space="preserve"> м² која лежи на КП бр.260 ДЕЛ 5 викано место Село, класа 5 запишана во Имотен лист бр.1950</w:t>
      </w:r>
      <w:r w:rsidRPr="009A5199">
        <w:rPr>
          <w:rFonts w:ascii="Arial" w:hAnsi="Arial" w:cs="Arial"/>
          <w:sz w:val="19"/>
          <w:szCs w:val="19"/>
          <w:lang w:val="en-US"/>
        </w:rPr>
        <w:t xml:space="preserve"> </w:t>
      </w:r>
      <w:r w:rsidRPr="009A5199">
        <w:rPr>
          <w:rFonts w:ascii="Arial" w:hAnsi="Arial" w:cs="Arial"/>
          <w:sz w:val="19"/>
          <w:szCs w:val="19"/>
        </w:rPr>
        <w:t xml:space="preserve">КО Брвеница при АКН на РМ – ЦКН Тетово и нива со вкупна површина од 457 м2  запишана во имотен лист бр.1952 КО Брвеница при АКН на РСМ – ЦКН Тетово со следните ознаки; плодни земјишта нива </w:t>
      </w:r>
      <w:r w:rsidRPr="009A5199">
        <w:rPr>
          <w:rFonts w:ascii="Arial" w:hAnsi="Arial" w:cs="Arial"/>
          <w:sz w:val="19"/>
          <w:szCs w:val="19"/>
          <w:lang w:val="ru-RU"/>
        </w:rPr>
        <w:t>со вкупна површина од 457</w:t>
      </w:r>
      <w:r w:rsidRPr="009A5199">
        <w:rPr>
          <w:rFonts w:ascii="Arial" w:hAnsi="Arial" w:cs="Arial"/>
          <w:sz w:val="19"/>
          <w:szCs w:val="19"/>
        </w:rPr>
        <w:t xml:space="preserve"> м² која лежи на КП бр.260 ДЕЛ 2 викано место Село, класа 5 запишана во Имотен лист бр.1952</w:t>
      </w:r>
      <w:r w:rsidRPr="009A5199">
        <w:rPr>
          <w:rFonts w:ascii="Arial" w:hAnsi="Arial" w:cs="Arial"/>
          <w:sz w:val="19"/>
          <w:szCs w:val="19"/>
          <w:lang w:val="en-US"/>
        </w:rPr>
        <w:t xml:space="preserve"> </w:t>
      </w:r>
      <w:r w:rsidRPr="009A5199">
        <w:rPr>
          <w:rFonts w:ascii="Arial" w:hAnsi="Arial" w:cs="Arial"/>
          <w:sz w:val="19"/>
          <w:szCs w:val="19"/>
        </w:rPr>
        <w:t xml:space="preserve">КО Брвеница при АКН на РМ – ЦКН Тетово, кои се наоѓат во сопственост на должникот </w:t>
      </w:r>
      <w:bookmarkStart w:id="24" w:name="Odolz"/>
      <w:bookmarkEnd w:id="24"/>
      <w:r w:rsidRPr="009A5199">
        <w:rPr>
          <w:rFonts w:ascii="Arial" w:hAnsi="Arial" w:cs="Arial"/>
          <w:sz w:val="19"/>
          <w:szCs w:val="19"/>
        </w:rPr>
        <w:t>Горан Симјаноски од Тетово со живеалиште на ул. Браќа Стефановиќ бр.10 Брвеница</w:t>
      </w:r>
      <w:r w:rsidRPr="009A5199">
        <w:rPr>
          <w:rFonts w:ascii="Arial" w:hAnsi="Arial" w:cs="Arial"/>
          <w:sz w:val="19"/>
          <w:szCs w:val="19"/>
          <w:lang w:val="ru-RU"/>
        </w:rPr>
        <w:t>.</w:t>
      </w:r>
    </w:p>
    <w:p w:rsidR="009A5199" w:rsidRPr="009A5199" w:rsidRDefault="009A5199" w:rsidP="009A5199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val="ru-RU"/>
        </w:rPr>
      </w:pPr>
    </w:p>
    <w:p w:rsidR="009A5199" w:rsidRPr="009A5199" w:rsidRDefault="009A5199" w:rsidP="009A5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9A5199">
        <w:rPr>
          <w:rFonts w:ascii="Arial" w:hAnsi="Arial" w:cs="Arial"/>
          <w:sz w:val="19"/>
          <w:szCs w:val="19"/>
        </w:rPr>
        <w:t>Продажбата ќе се одржи на ден 26.11.2019 година во 12</w:t>
      </w:r>
      <w:r w:rsidRPr="009A5199">
        <w:rPr>
          <w:rFonts w:ascii="Arial" w:hAnsi="Arial" w:cs="Arial"/>
          <w:sz w:val="19"/>
          <w:szCs w:val="19"/>
          <w:lang w:val="en-US"/>
        </w:rPr>
        <w:t>:00</w:t>
      </w:r>
      <w:r w:rsidRPr="009A5199">
        <w:rPr>
          <w:rFonts w:ascii="Arial" w:hAnsi="Arial" w:cs="Arial"/>
          <w:sz w:val="19"/>
          <w:szCs w:val="19"/>
        </w:rPr>
        <w:t xml:space="preserve"> часот во просториите на извршител Андреја Буневски од Скопје, ул. Аминта Трети  бр.54  Скопје, тел: </w:t>
      </w:r>
      <w:r w:rsidRPr="009A5199">
        <w:rPr>
          <w:rFonts w:ascii="Arial" w:eastAsia="Times New Roman" w:hAnsi="Arial" w:cs="Arial"/>
          <w:sz w:val="19"/>
          <w:szCs w:val="19"/>
          <w:lang w:eastAsia="en-GB"/>
        </w:rPr>
        <w:t>02 3290 131 / 071 35 4 200</w:t>
      </w:r>
      <w:r w:rsidRPr="009A5199">
        <w:rPr>
          <w:rFonts w:ascii="Arial" w:hAnsi="Arial" w:cs="Arial"/>
          <w:sz w:val="19"/>
          <w:szCs w:val="19"/>
        </w:rPr>
        <w:t>. Почетната вредност на недвижноста под точка 1, изнесува 2.096.781,00 денари, под која недвижноста не може да се продаде на првото јавно наддавање.</w:t>
      </w:r>
      <w:r w:rsidRPr="009A5199">
        <w:rPr>
          <w:rFonts w:ascii="Arial" w:hAnsi="Arial" w:cs="Arial"/>
          <w:sz w:val="19"/>
          <w:szCs w:val="19"/>
        </w:rPr>
        <w:t xml:space="preserve"> </w:t>
      </w:r>
      <w:r w:rsidRPr="009A5199">
        <w:rPr>
          <w:rFonts w:ascii="Arial" w:hAnsi="Arial" w:cs="Arial"/>
          <w:sz w:val="19"/>
          <w:szCs w:val="19"/>
        </w:rPr>
        <w:t>Почетната вредност на недвижноста под точка 2, изнесува 947.017,00 денари, под која недвижноста не може да се продаде на првото јавно наддавање.</w:t>
      </w:r>
    </w:p>
    <w:p w:rsidR="009A5199" w:rsidRDefault="009A5199" w:rsidP="009A5199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9A5199">
        <w:rPr>
          <w:rFonts w:ascii="Arial" w:hAnsi="Arial" w:cs="Arial"/>
          <w:sz w:val="19"/>
          <w:szCs w:val="19"/>
        </w:rPr>
        <w:t>Недвижностите се оптоварени со следните товари и службености: прибележан налог за извршување врз недвижност И.бр.3547/2019 од 23.07.2019 година на Извршител Андреја Буневски.</w:t>
      </w:r>
      <w:r w:rsidRPr="009A5199">
        <w:rPr>
          <w:rFonts w:ascii="Arial" w:hAnsi="Arial" w:cs="Arial"/>
          <w:sz w:val="19"/>
          <w:szCs w:val="19"/>
        </w:rPr>
        <w:t xml:space="preserve"> </w:t>
      </w:r>
      <w:r w:rsidRPr="009A5199">
        <w:rPr>
          <w:rFonts w:ascii="Arial" w:eastAsia="Times New Roman" w:hAnsi="Arial" w:cs="Arial"/>
          <w:sz w:val="19"/>
          <w:szCs w:val="19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A5199">
        <w:rPr>
          <w:rFonts w:ascii="Arial" w:eastAsia="Times New Roman" w:hAnsi="Arial" w:cs="Arial"/>
          <w:color w:val="00B050"/>
          <w:sz w:val="19"/>
          <w:szCs w:val="19"/>
        </w:rPr>
        <w:t xml:space="preserve"> </w:t>
      </w:r>
      <w:r w:rsidRPr="009A5199">
        <w:rPr>
          <w:rFonts w:ascii="Arial" w:eastAsia="Times New Roman" w:hAnsi="Arial" w:cs="Arial"/>
          <w:sz w:val="19"/>
          <w:szCs w:val="19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Pr="009A5199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Pr="009A5199">
        <w:rPr>
          <w:rFonts w:ascii="Arial" w:hAnsi="Arial" w:cs="Arial"/>
          <w:sz w:val="19"/>
          <w:szCs w:val="19"/>
        </w:rPr>
        <w:t>На јавното наддавање можат да учествуваат само лица кои претходно положиле гаранција и тоа најдоцна 1 (еден) ден пред продажбата, а која гаранција изнесува 1/10 (една десеттина) од утврдената вредност на недвижноста, односно износ од 209.678,00 денари за недвижноста по точка 1 и износ од 94.702,00 денари за недвижноста под точка 2. Уплатата на паричните средства на име гаранција се врши на жиро сметката од извршителот со бр.</w:t>
      </w:r>
      <w:r w:rsidRPr="009A5199">
        <w:rPr>
          <w:rFonts w:ascii="Arial" w:eastAsia="Times New Roman" w:hAnsi="Arial" w:cs="Arial"/>
          <w:sz w:val="19"/>
          <w:szCs w:val="19"/>
          <w:lang w:val="ru-RU" w:eastAsia="en-GB"/>
        </w:rPr>
        <w:t xml:space="preserve">240010001043021 </w:t>
      </w:r>
      <w:r w:rsidRPr="009A5199">
        <w:rPr>
          <w:rFonts w:ascii="Arial" w:hAnsi="Arial" w:cs="Arial"/>
          <w:sz w:val="19"/>
          <w:szCs w:val="19"/>
        </w:rPr>
        <w:t xml:space="preserve">во Уни Банка АД Скопје. На понудувачите чија понуда не е прифатена, гаранцијата им се враќа веднаш по заклучувањето на јавното наддавање. </w:t>
      </w:r>
      <w:r w:rsidRPr="009A5199">
        <w:rPr>
          <w:rFonts w:ascii="Arial" w:eastAsia="Times New Roman" w:hAnsi="Arial" w:cs="Arial"/>
          <w:sz w:val="19"/>
          <w:szCs w:val="19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9A5199">
        <w:rPr>
          <w:rFonts w:ascii="Arial" w:eastAsia="Times New Roman" w:hAnsi="Arial" w:cs="Arial"/>
          <w:sz w:val="19"/>
          <w:szCs w:val="19"/>
          <w:lang w:val="ru-RU"/>
        </w:rPr>
        <w:t xml:space="preserve">15 </w:t>
      </w:r>
      <w:r w:rsidRPr="009A5199">
        <w:rPr>
          <w:rFonts w:ascii="Arial" w:eastAsia="Times New Roman" w:hAnsi="Arial" w:cs="Arial"/>
          <w:sz w:val="19"/>
          <w:szCs w:val="19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Pr="009A5199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Pr="009A5199">
        <w:rPr>
          <w:rFonts w:ascii="Arial" w:hAnsi="Arial" w:cs="Arial"/>
          <w:sz w:val="19"/>
          <w:szCs w:val="19"/>
        </w:rPr>
        <w:t xml:space="preserve">Овој заклучок ќе се објави во следните средства за јавно информирање дневен весник Нова Македонија </w:t>
      </w:r>
      <w:r w:rsidRPr="009A5199">
        <w:rPr>
          <w:rFonts w:ascii="Arial" w:eastAsia="Times New Roman" w:hAnsi="Arial" w:cs="Arial"/>
          <w:sz w:val="19"/>
          <w:szCs w:val="19"/>
          <w:lang w:val="ru-RU"/>
        </w:rPr>
        <w:t>и електронски на веб страницата на Комората</w:t>
      </w:r>
      <w:r w:rsidRPr="009A5199">
        <w:rPr>
          <w:rFonts w:ascii="Arial" w:eastAsia="Times New Roman" w:hAnsi="Arial" w:cs="Arial"/>
          <w:sz w:val="19"/>
          <w:szCs w:val="19"/>
        </w:rPr>
        <w:t>.</w:t>
      </w:r>
      <w:r w:rsidRPr="009A5199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Pr="009A5199">
        <w:rPr>
          <w:rFonts w:ascii="Arial" w:hAnsi="Arial" w:cs="Arial"/>
          <w:sz w:val="19"/>
          <w:szCs w:val="19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A5199" w:rsidRPr="009A5199" w:rsidRDefault="009A5199" w:rsidP="009A5199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9A5199" w:rsidRPr="009A5199" w:rsidRDefault="009A5199" w:rsidP="009A5199">
      <w:pPr>
        <w:spacing w:after="0" w:line="240" w:lineRule="auto"/>
        <w:ind w:firstLine="720"/>
        <w:rPr>
          <w:rFonts w:ascii="Arial" w:hAnsi="Arial" w:cs="Arial"/>
          <w:sz w:val="19"/>
          <w:szCs w:val="19"/>
        </w:rPr>
      </w:pPr>
      <w:r w:rsidRPr="009A5199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</w:t>
      </w:r>
      <w:r w:rsidRPr="009A5199">
        <w:rPr>
          <w:rFonts w:ascii="Arial" w:hAnsi="Arial" w:cs="Arial"/>
          <w:sz w:val="19"/>
          <w:szCs w:val="19"/>
          <w:lang w:val="en-US"/>
        </w:rPr>
        <w:t xml:space="preserve">                     </w:t>
      </w:r>
      <w:r>
        <w:rPr>
          <w:rFonts w:ascii="Arial" w:hAnsi="Arial" w:cs="Arial"/>
          <w:sz w:val="19"/>
          <w:szCs w:val="19"/>
        </w:rPr>
        <w:t xml:space="preserve">     </w:t>
      </w:r>
      <w:r w:rsidRPr="009A5199">
        <w:rPr>
          <w:rFonts w:ascii="Arial" w:hAnsi="Arial" w:cs="Arial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       </w:t>
      </w:r>
      <w:r w:rsidRPr="009A5199">
        <w:rPr>
          <w:rFonts w:ascii="Arial" w:hAnsi="Arial" w:cs="Arial"/>
          <w:sz w:val="19"/>
          <w:szCs w:val="19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9A5199" w:rsidRPr="009A5199" w:rsidTr="009A5199">
        <w:trPr>
          <w:trHeight w:val="851"/>
        </w:trPr>
        <w:tc>
          <w:tcPr>
            <w:tcW w:w="4297" w:type="dxa"/>
            <w:hideMark/>
          </w:tcPr>
          <w:p w:rsidR="009A5199" w:rsidRPr="009A5199" w:rsidRDefault="009A5199" w:rsidP="009A5199">
            <w:pPr>
              <w:pStyle w:val="BodyText"/>
              <w:rPr>
                <w:rFonts w:ascii="Arial" w:hAnsi="Arial" w:cs="Arial"/>
                <w:sz w:val="19"/>
                <w:szCs w:val="19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19"/>
                <w:szCs w:val="19"/>
                <w:lang w:val="mk-MK"/>
              </w:rPr>
              <w:t xml:space="preserve">                </w:t>
            </w:r>
            <w:r w:rsidR="00131C6B">
              <w:rPr>
                <w:rFonts w:ascii="Arial" w:hAnsi="Arial" w:cs="Arial"/>
                <w:sz w:val="19"/>
                <w:szCs w:val="19"/>
                <w:lang w:val="mk-MK"/>
              </w:rPr>
              <w:t xml:space="preserve">   </w:t>
            </w:r>
            <w:bookmarkStart w:id="26" w:name="_GoBack"/>
            <w:bookmarkEnd w:id="26"/>
            <w:r>
              <w:rPr>
                <w:rFonts w:ascii="Arial" w:hAnsi="Arial" w:cs="Arial"/>
                <w:sz w:val="19"/>
                <w:szCs w:val="19"/>
                <w:lang w:val="mk-MK"/>
              </w:rPr>
              <w:t>А</w:t>
            </w:r>
            <w:r w:rsidRPr="009A5199">
              <w:rPr>
                <w:rFonts w:ascii="Arial" w:hAnsi="Arial" w:cs="Arial"/>
                <w:sz w:val="19"/>
                <w:szCs w:val="19"/>
                <w:lang w:val="mk-MK"/>
              </w:rPr>
              <w:t>ндреја Буневски</w:t>
            </w:r>
          </w:p>
          <w:p w:rsidR="009A5199" w:rsidRPr="009A5199" w:rsidRDefault="009A5199">
            <w:pPr>
              <w:pStyle w:val="BodyText"/>
              <w:jc w:val="center"/>
              <w:rPr>
                <w:rFonts w:ascii="Arial" w:hAnsi="Arial" w:cs="Arial"/>
                <w:sz w:val="19"/>
                <w:szCs w:val="19"/>
                <w:lang w:val="mk-MK"/>
              </w:rPr>
            </w:pPr>
          </w:p>
        </w:tc>
      </w:tr>
    </w:tbl>
    <w:p w:rsidR="009A5199" w:rsidRPr="009A5199" w:rsidRDefault="009A5199" w:rsidP="009A51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9A5199">
        <w:rPr>
          <w:rFonts w:ascii="Arial" w:hAnsi="Arial" w:cs="Arial"/>
          <w:sz w:val="19"/>
          <w:szCs w:val="19"/>
          <w:lang w:val="en-US"/>
        </w:rPr>
        <w:br w:type="textWrapping" w:clear="all"/>
      </w:r>
      <w:r w:rsidRPr="009A5199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</w:t>
      </w:r>
    </w:p>
    <w:p w:rsidR="009A5199" w:rsidRPr="009A5199" w:rsidRDefault="009A5199" w:rsidP="009A5199">
      <w:pPr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</w:p>
    <w:p w:rsidR="009A5199" w:rsidRPr="009A5199" w:rsidRDefault="009A5199" w:rsidP="009A5199">
      <w:pPr>
        <w:ind w:firstLine="720"/>
        <w:jc w:val="both"/>
        <w:rPr>
          <w:sz w:val="19"/>
          <w:szCs w:val="19"/>
        </w:rPr>
      </w:pPr>
    </w:p>
    <w:p w:rsidR="00982077" w:rsidRPr="009A5199" w:rsidRDefault="00982077">
      <w:pPr>
        <w:rPr>
          <w:sz w:val="19"/>
          <w:szCs w:val="19"/>
        </w:rPr>
      </w:pPr>
    </w:p>
    <w:sectPr w:rsidR="00982077" w:rsidRPr="009A5199" w:rsidSect="009A5199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2423F"/>
    <w:multiLevelType w:val="hybridMultilevel"/>
    <w:tmpl w:val="73A898C0"/>
    <w:lvl w:ilvl="0" w:tplc="7744D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99"/>
    <w:rsid w:val="00131C6B"/>
    <w:rsid w:val="00333FD0"/>
    <w:rsid w:val="00633609"/>
    <w:rsid w:val="00982077"/>
    <w:rsid w:val="009A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B12D5-048D-4F26-90F1-A8A5452E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A5199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A519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A5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2019-10-29T15:52:00Z</dcterms:created>
  <dcterms:modified xsi:type="dcterms:W3CDTF">2019-10-29T16:18:00Z</dcterms:modified>
</cp:coreProperties>
</file>