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35"/>
        <w:gridCol w:w="481"/>
        <w:gridCol w:w="802"/>
        <w:gridCol w:w="2524"/>
      </w:tblGrid>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lang w:val="ru-RU"/>
              </w:rPr>
            </w:pPr>
            <w:r>
              <w:rPr>
                <w:rFonts w:ascii="Arial" w:hAnsi="Arial" w:cs="Arial"/>
                <w:noProof/>
                <w:lang w:eastAsia="mk-MK"/>
              </w:rPr>
              <w:drawing>
                <wp:inline distT="0" distB="0" distL="0" distR="0">
                  <wp:extent cx="293370" cy="353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3370" cy="353695"/>
                          </a:xfrm>
                          <a:prstGeom prst="rect">
                            <a:avLst/>
                          </a:prstGeom>
                          <a:noFill/>
                          <a:ln w="9525">
                            <a:noFill/>
                            <a:miter lim="800000"/>
                            <a:headEnd/>
                            <a:tailEnd/>
                          </a:ln>
                        </pic:spPr>
                      </pic:pic>
                    </a:graphicData>
                  </a:graphic>
                </wp:inline>
              </w:drawing>
            </w:r>
          </w:p>
        </w:tc>
        <w:tc>
          <w:tcPr>
            <w:tcW w:w="566" w:type="dxa"/>
          </w:tcPr>
          <w:p w:rsidR="006163C6" w:rsidRDefault="006163C6">
            <w:pPr>
              <w:tabs>
                <w:tab w:val="center" w:pos="2268"/>
              </w:tabs>
              <w:spacing w:after="0" w:line="240" w:lineRule="auto"/>
              <w:jc w:val="both"/>
              <w:rPr>
                <w:rFonts w:ascii="Arial" w:eastAsia="Times New Roman" w:hAnsi="Arial" w:cs="Arial"/>
                <w:lang w:val="ru-RU"/>
              </w:rPr>
            </w:pPr>
          </w:p>
        </w:tc>
        <w:tc>
          <w:tcPr>
            <w:tcW w:w="993" w:type="dxa"/>
          </w:tcPr>
          <w:p w:rsidR="006163C6" w:rsidRDefault="006163C6">
            <w:pPr>
              <w:tabs>
                <w:tab w:val="center" w:pos="2268"/>
              </w:tabs>
              <w:spacing w:after="0" w:line="240" w:lineRule="auto"/>
              <w:jc w:val="both"/>
              <w:rPr>
                <w:rFonts w:ascii="Arial" w:eastAsia="Times New Roman" w:hAnsi="Arial" w:cs="Arial"/>
                <w:lang w:val="ru-RU"/>
              </w:rPr>
            </w:pPr>
          </w:p>
        </w:tc>
        <w:tc>
          <w:tcPr>
            <w:tcW w:w="2977" w:type="dxa"/>
          </w:tcPr>
          <w:p w:rsidR="006163C6" w:rsidRDefault="006163C6">
            <w:pPr>
              <w:tabs>
                <w:tab w:val="center" w:pos="2268"/>
              </w:tabs>
              <w:spacing w:after="0" w:line="240" w:lineRule="auto"/>
              <w:jc w:val="both"/>
              <w:rPr>
                <w:rFonts w:ascii="Arial" w:eastAsia="Times New Roman" w:hAnsi="Arial" w:cs="Arial"/>
                <w:lang w:val="ru-RU"/>
              </w:rPr>
            </w:pPr>
          </w:p>
        </w:tc>
      </w:tr>
      <w:tr w:rsidR="006163C6" w:rsidTr="006163C6">
        <w:tc>
          <w:tcPr>
            <w:tcW w:w="6204" w:type="dxa"/>
            <w:hideMark/>
          </w:tcPr>
          <w:p w:rsidR="006163C6" w:rsidRDefault="006163C6">
            <w:pPr>
              <w:spacing w:after="0" w:line="240" w:lineRule="auto"/>
              <w:rPr>
                <w:sz w:val="20"/>
                <w:szCs w:val="20"/>
                <w:lang w:eastAsia="mk-MK"/>
              </w:rPr>
            </w:pP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tcPr>
          <w:p w:rsidR="006163C6" w:rsidRDefault="006163C6">
            <w:pPr>
              <w:tabs>
                <w:tab w:val="center" w:pos="2268"/>
              </w:tabs>
              <w:spacing w:after="0" w:line="240" w:lineRule="auto"/>
              <w:jc w:val="both"/>
              <w:rPr>
                <w:rFonts w:ascii="Arial" w:eastAsia="Times New Roman" w:hAnsi="Arial" w:cs="Arial"/>
                <w:b/>
                <w:lang w:val="ru-RU"/>
              </w:rPr>
            </w:pP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 З В Р Ш И Т Е Л</w:t>
            </w: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hideMark/>
          </w:tcPr>
          <w:p w:rsidR="006163C6" w:rsidRDefault="006163C6">
            <w:pPr>
              <w:tabs>
                <w:tab w:val="center" w:pos="2268"/>
              </w:tabs>
              <w:spacing w:after="0" w:line="240" w:lineRule="auto"/>
              <w:jc w:val="center"/>
              <w:rPr>
                <w:rFonts w:ascii="Arial" w:eastAsia="Times New Roman" w:hAnsi="Arial" w:cs="Arial"/>
                <w:b/>
                <w:lang w:val="en-US"/>
              </w:rPr>
            </w:pPr>
            <w:r>
              <w:rPr>
                <w:rFonts w:ascii="Arial" w:eastAsia="Times New Roman" w:hAnsi="Arial" w:cs="Arial"/>
                <w:b/>
              </w:rPr>
              <w:t>Образец бр.</w:t>
            </w:r>
            <w:r>
              <w:rPr>
                <w:rFonts w:ascii="Arial" w:eastAsia="Times New Roman" w:hAnsi="Arial" w:cs="Arial"/>
                <w:b/>
                <w:lang w:val="en-US"/>
              </w:rPr>
              <w:t>66</w:t>
            </w: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Павел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Томашевски</w:t>
            </w:r>
            <w:proofErr w:type="spellEnd"/>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tcPr>
          <w:p w:rsidR="006163C6" w:rsidRDefault="006163C6">
            <w:pPr>
              <w:tabs>
                <w:tab w:val="center" w:pos="2268"/>
              </w:tabs>
              <w:spacing w:after="0" w:line="240" w:lineRule="auto"/>
              <w:jc w:val="both"/>
              <w:rPr>
                <w:rFonts w:ascii="Arial" w:eastAsia="Times New Roman" w:hAnsi="Arial" w:cs="Arial"/>
                <w:b/>
                <w:lang w:val="ru-RU"/>
              </w:rPr>
            </w:pP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именуван за подрачјето</w:t>
            </w: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tcPr>
          <w:p w:rsidR="006163C6" w:rsidRDefault="006163C6">
            <w:pPr>
              <w:tabs>
                <w:tab w:val="center" w:pos="2268"/>
              </w:tabs>
              <w:spacing w:after="0" w:line="240" w:lineRule="auto"/>
              <w:jc w:val="both"/>
              <w:rPr>
                <w:rFonts w:ascii="Arial" w:eastAsia="Times New Roman" w:hAnsi="Arial" w:cs="Arial"/>
                <w:b/>
                <w:lang w:val="ru-RU"/>
              </w:rPr>
            </w:pP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на Основниот суд</w:t>
            </w: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hideMark/>
          </w:tcPr>
          <w:p w:rsidR="006163C6" w:rsidRDefault="006163C6">
            <w:pPr>
              <w:tabs>
                <w:tab w:val="center" w:pos="2268"/>
              </w:tabs>
              <w:spacing w:after="0" w:line="240" w:lineRule="auto"/>
              <w:jc w:val="center"/>
              <w:rPr>
                <w:rFonts w:ascii="Arial" w:eastAsia="Times New Roman" w:hAnsi="Arial" w:cs="Arial"/>
                <w:b/>
                <w:lang w:val="en-US"/>
              </w:rPr>
            </w:pPr>
            <w:r>
              <w:rPr>
                <w:rFonts w:ascii="Arial" w:eastAsia="Times New Roman" w:hAnsi="Arial" w:cs="Arial"/>
                <w:b/>
                <w:color w:val="000000"/>
              </w:rPr>
              <w:t>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722/2016 </w:t>
            </w: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tcPr>
          <w:p w:rsidR="006163C6" w:rsidRDefault="006163C6">
            <w:pPr>
              <w:tabs>
                <w:tab w:val="center" w:pos="2268"/>
              </w:tabs>
              <w:spacing w:after="0" w:line="240" w:lineRule="auto"/>
              <w:jc w:val="both"/>
              <w:rPr>
                <w:rFonts w:ascii="Arial" w:eastAsia="Times New Roman" w:hAnsi="Arial" w:cs="Arial"/>
                <w:b/>
                <w:lang w:val="ru-RU"/>
              </w:rPr>
            </w:pP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 xml:space="preserve">ул.11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tcPr>
          <w:p w:rsidR="006163C6" w:rsidRDefault="006163C6">
            <w:pPr>
              <w:tabs>
                <w:tab w:val="center" w:pos="2268"/>
              </w:tabs>
              <w:spacing w:after="0" w:line="240" w:lineRule="auto"/>
              <w:jc w:val="both"/>
              <w:rPr>
                <w:rFonts w:ascii="Arial" w:eastAsia="Times New Roman" w:hAnsi="Arial" w:cs="Arial"/>
                <w:b/>
                <w:lang w:val="ru-RU"/>
              </w:rPr>
            </w:pPr>
          </w:p>
        </w:tc>
      </w:tr>
      <w:tr w:rsidR="006163C6" w:rsidTr="006163C6">
        <w:tc>
          <w:tcPr>
            <w:tcW w:w="6204" w:type="dxa"/>
            <w:hideMark/>
          </w:tcPr>
          <w:p w:rsidR="006163C6" w:rsidRDefault="006163C6">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 31-31-800; tomashevski@izvrsitel.com</w:t>
            </w:r>
          </w:p>
        </w:tc>
        <w:tc>
          <w:tcPr>
            <w:tcW w:w="566" w:type="dxa"/>
          </w:tcPr>
          <w:p w:rsidR="006163C6" w:rsidRDefault="006163C6">
            <w:pPr>
              <w:tabs>
                <w:tab w:val="center" w:pos="2268"/>
              </w:tabs>
              <w:spacing w:after="0" w:line="240" w:lineRule="auto"/>
              <w:jc w:val="both"/>
              <w:rPr>
                <w:rFonts w:ascii="Arial" w:eastAsia="Times New Roman" w:hAnsi="Arial" w:cs="Arial"/>
                <w:b/>
                <w:lang w:val="ru-RU"/>
              </w:rPr>
            </w:pPr>
          </w:p>
        </w:tc>
        <w:tc>
          <w:tcPr>
            <w:tcW w:w="993" w:type="dxa"/>
          </w:tcPr>
          <w:p w:rsidR="006163C6" w:rsidRDefault="006163C6">
            <w:pPr>
              <w:tabs>
                <w:tab w:val="center" w:pos="2268"/>
              </w:tabs>
              <w:spacing w:after="0" w:line="240" w:lineRule="auto"/>
              <w:jc w:val="both"/>
              <w:rPr>
                <w:rFonts w:ascii="Arial" w:eastAsia="Times New Roman" w:hAnsi="Arial" w:cs="Arial"/>
                <w:b/>
                <w:lang w:val="ru-RU"/>
              </w:rPr>
            </w:pPr>
          </w:p>
        </w:tc>
        <w:tc>
          <w:tcPr>
            <w:tcW w:w="2977" w:type="dxa"/>
          </w:tcPr>
          <w:p w:rsidR="006163C6" w:rsidRDefault="006163C6">
            <w:pPr>
              <w:tabs>
                <w:tab w:val="center" w:pos="2268"/>
              </w:tabs>
              <w:spacing w:after="0" w:line="240" w:lineRule="auto"/>
              <w:jc w:val="both"/>
              <w:rPr>
                <w:rFonts w:ascii="Arial" w:eastAsia="Times New Roman" w:hAnsi="Arial" w:cs="Arial"/>
                <w:b/>
                <w:lang w:val="ru-RU"/>
              </w:rPr>
            </w:pPr>
          </w:p>
        </w:tc>
      </w:tr>
    </w:tbl>
    <w:p w:rsidR="006163C6" w:rsidRDefault="006163C6" w:rsidP="006163C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6163C6" w:rsidRDefault="006163C6" w:rsidP="006163C6">
      <w:pPr>
        <w:autoSpaceDE w:val="0"/>
        <w:autoSpaceDN w:val="0"/>
        <w:adjustRightInd w:val="0"/>
        <w:spacing w:after="0" w:line="240" w:lineRule="auto"/>
        <w:jc w:val="both"/>
        <w:rPr>
          <w:rFonts w:ascii="Arial" w:hAnsi="Arial" w:cs="Arial"/>
          <w:b/>
          <w:bCs/>
          <w:sz w:val="20"/>
          <w:szCs w:val="20"/>
          <w:lang w:val="en-US"/>
        </w:rPr>
      </w:pPr>
    </w:p>
    <w:p w:rsidR="006163C6" w:rsidRDefault="006163C6" w:rsidP="006163C6">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Павел Томашевски од </w:t>
      </w:r>
      <w:bookmarkStart w:id="6" w:name="Adresa"/>
      <w:bookmarkEnd w:id="6"/>
      <w:r>
        <w:rPr>
          <w:rFonts w:ascii="Arial" w:hAnsi="Arial" w:cs="Arial"/>
        </w:rPr>
        <w:t xml:space="preserve">Скопје, врз основа на барањето за спроведување на извршување од </w:t>
      </w:r>
      <w:bookmarkStart w:id="7" w:name="Doveritel1"/>
      <w:bookmarkEnd w:id="7"/>
      <w:r>
        <w:rPr>
          <w:rFonts w:ascii="Arial" w:hAnsi="Arial" w:cs="Arial"/>
        </w:rPr>
        <w:t xml:space="preserve">доверителот Коле Димитриевски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 живеалиште на  </w:t>
      </w:r>
      <w:bookmarkStart w:id="10" w:name="adresa1"/>
      <w:bookmarkEnd w:id="10"/>
      <w:r>
        <w:rPr>
          <w:rFonts w:ascii="Arial" w:hAnsi="Arial" w:cs="Arial"/>
        </w:rPr>
        <w:t>ул. Јуриј Гагарин бр. 4-30</w:t>
      </w:r>
      <w:r>
        <w:rPr>
          <w:rFonts w:ascii="Arial" w:hAnsi="Arial" w:cs="Arial"/>
          <w:lang w:val="ru-RU"/>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ОДУ бр. 3424/15 од 23.07.2015 година на Нотар Ана Брашнарска, против </w:t>
      </w:r>
      <w:bookmarkStart w:id="16" w:name="Dolznik1"/>
      <w:bookmarkEnd w:id="16"/>
      <w:r>
        <w:rPr>
          <w:rFonts w:ascii="Arial" w:hAnsi="Arial" w:cs="Arial"/>
        </w:rPr>
        <w:t xml:space="preserve">должникот Здравко Михајловски од </w:t>
      </w:r>
      <w:bookmarkStart w:id="17" w:name="DolzGrad1"/>
      <w:bookmarkEnd w:id="17"/>
      <w:r>
        <w:rPr>
          <w:rFonts w:ascii="Arial" w:hAnsi="Arial" w:cs="Arial"/>
        </w:rPr>
        <w:t xml:space="preserve">Скопје со </w:t>
      </w:r>
      <w:bookmarkStart w:id="18" w:name="opis_edb1_dolz"/>
      <w:bookmarkEnd w:id="18"/>
      <w:r>
        <w:rPr>
          <w:rFonts w:ascii="Arial" w:hAnsi="Arial" w:cs="Arial"/>
          <w:lang w:val="ru-RU"/>
        </w:rPr>
        <w:t xml:space="preserve">живеалиште на </w:t>
      </w:r>
      <w:bookmarkStart w:id="19" w:name="adresa1_dolz"/>
      <w:bookmarkEnd w:id="19"/>
      <w:r>
        <w:rPr>
          <w:rFonts w:ascii="Arial" w:hAnsi="Arial" w:cs="Arial"/>
        </w:rPr>
        <w:t xml:space="preserve">ул. Димче Мирчев бр. 18А-39, </w:t>
      </w:r>
      <w:bookmarkStart w:id="20" w:name="Dolznik2"/>
      <w:bookmarkEnd w:id="20"/>
      <w:r>
        <w:rPr>
          <w:rFonts w:ascii="Arial" w:hAnsi="Arial" w:cs="Arial"/>
        </w:rPr>
        <w:t xml:space="preserve"> за спроведување на извршување  на ден </w:t>
      </w:r>
      <w:bookmarkStart w:id="21" w:name="DatumIzdava"/>
      <w:bookmarkEnd w:id="21"/>
      <w:r>
        <w:rPr>
          <w:rFonts w:ascii="Arial" w:hAnsi="Arial" w:cs="Arial"/>
        </w:rPr>
        <w:t>14.02.2020 година го донесува следниот:</w:t>
      </w:r>
    </w:p>
    <w:p w:rsidR="006163C6" w:rsidRDefault="006163C6" w:rsidP="006163C6">
      <w:pPr>
        <w:autoSpaceDE w:val="0"/>
        <w:autoSpaceDN w:val="0"/>
        <w:adjustRightInd w:val="0"/>
        <w:spacing w:after="0" w:line="240" w:lineRule="auto"/>
        <w:rPr>
          <w:rFonts w:ascii="Arial" w:hAnsi="Arial" w:cs="Arial"/>
        </w:rPr>
      </w:pPr>
      <w:r>
        <w:rPr>
          <w:rFonts w:ascii="Arial" w:hAnsi="Arial" w:cs="Arial"/>
        </w:rPr>
        <w:t xml:space="preserve">                                                                                                                                                                   </w:t>
      </w:r>
    </w:p>
    <w:p w:rsidR="006163C6" w:rsidRDefault="006163C6" w:rsidP="006163C6">
      <w:pPr>
        <w:spacing w:after="0"/>
        <w:jc w:val="center"/>
        <w:rPr>
          <w:rFonts w:ascii="Arial" w:hAnsi="Arial" w:cs="Arial"/>
          <w:b/>
        </w:rPr>
      </w:pPr>
      <w:r>
        <w:rPr>
          <w:rFonts w:ascii="Arial" w:hAnsi="Arial" w:cs="Arial"/>
          <w:b/>
        </w:rPr>
        <w:t>З А К Л У Ч О К</w:t>
      </w:r>
    </w:p>
    <w:p w:rsidR="006163C6" w:rsidRDefault="006163C6" w:rsidP="006163C6">
      <w:pPr>
        <w:spacing w:after="0"/>
        <w:jc w:val="center"/>
        <w:rPr>
          <w:rFonts w:ascii="Arial" w:hAnsi="Arial" w:cs="Arial"/>
          <w:b/>
        </w:rPr>
      </w:pPr>
      <w:r>
        <w:rPr>
          <w:rFonts w:ascii="Arial" w:hAnsi="Arial" w:cs="Arial"/>
          <w:b/>
        </w:rPr>
        <w:t>ЗА УСНА ЈАВНА ПРОДАЖБА</w:t>
      </w:r>
    </w:p>
    <w:p w:rsidR="006163C6" w:rsidRDefault="006163C6" w:rsidP="006163C6">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6163C6" w:rsidRDefault="006163C6" w:rsidP="006163C6">
      <w:pPr>
        <w:autoSpaceDE w:val="0"/>
        <w:autoSpaceDN w:val="0"/>
        <w:adjustRightInd w:val="0"/>
        <w:spacing w:after="0" w:line="240" w:lineRule="auto"/>
        <w:rPr>
          <w:rFonts w:ascii="Arial" w:hAnsi="Arial" w:cs="Arial"/>
        </w:rPr>
      </w:pPr>
      <w:r>
        <w:rPr>
          <w:rFonts w:ascii="Arial" w:hAnsi="Arial" w:cs="Arial"/>
        </w:rPr>
        <w:t xml:space="preserve"> </w:t>
      </w:r>
    </w:p>
    <w:p w:rsidR="006163C6" w:rsidRDefault="006163C6" w:rsidP="006163C6">
      <w:pPr>
        <w:ind w:firstLine="720"/>
        <w:jc w:val="both"/>
        <w:rPr>
          <w:rFonts w:ascii="Arial" w:eastAsia="Times New Roman" w:hAnsi="Arial" w:cs="Arial"/>
        </w:rPr>
      </w:pPr>
      <w:r>
        <w:rPr>
          <w:rFonts w:ascii="Arial" w:eastAsia="Times New Roman" w:hAnsi="Arial" w:cs="Arial"/>
        </w:rPr>
        <w:t>СЕ ОПРЕДЕЛУВА втора продажба со усно  јавно наддавање на 1/8 од недвижноста означена како:</w:t>
      </w:r>
    </w:p>
    <w:p w:rsidR="006163C6" w:rsidRDefault="006163C6" w:rsidP="006163C6">
      <w:pPr>
        <w:numPr>
          <w:ilvl w:val="0"/>
          <w:numId w:val="1"/>
        </w:numPr>
        <w:spacing w:after="0" w:line="240" w:lineRule="auto"/>
        <w:jc w:val="both"/>
        <w:rPr>
          <w:rFonts w:ascii="Arial" w:hAnsi="Arial" w:cs="Arial"/>
          <w:bCs/>
          <w:sz w:val="20"/>
          <w:szCs w:val="20"/>
        </w:rPr>
      </w:pPr>
      <w:r>
        <w:rPr>
          <w:rFonts w:ascii="Arial" w:hAnsi="Arial" w:cs="Arial"/>
          <w:bCs/>
          <w:sz w:val="20"/>
          <w:szCs w:val="20"/>
        </w:rPr>
        <w:t xml:space="preserve">КП 2262 , викано место Востаничка, катастарска култура ГЗ, ГИЗ,  право на сосопственост, со површина од 235 м2, </w:t>
      </w:r>
    </w:p>
    <w:p w:rsidR="006163C6" w:rsidRDefault="006163C6" w:rsidP="006163C6">
      <w:pPr>
        <w:numPr>
          <w:ilvl w:val="0"/>
          <w:numId w:val="1"/>
        </w:numPr>
        <w:spacing w:after="0" w:line="240" w:lineRule="auto"/>
        <w:jc w:val="both"/>
        <w:rPr>
          <w:rFonts w:ascii="Arial" w:hAnsi="Arial" w:cs="Arial"/>
          <w:bCs/>
          <w:sz w:val="20"/>
          <w:szCs w:val="20"/>
        </w:rPr>
      </w:pPr>
      <w:r>
        <w:rPr>
          <w:rFonts w:ascii="Arial" w:hAnsi="Arial" w:cs="Arial"/>
          <w:bCs/>
          <w:sz w:val="20"/>
          <w:szCs w:val="20"/>
        </w:rPr>
        <w:t>КП 2262 , викано место Востаничка, катастарска култура ГЗ, ЗПЗ 1,  право на сосопственост, со површина од 79 м2, и</w:t>
      </w:r>
    </w:p>
    <w:p w:rsidR="006163C6" w:rsidRDefault="006163C6" w:rsidP="006163C6">
      <w:pPr>
        <w:numPr>
          <w:ilvl w:val="0"/>
          <w:numId w:val="1"/>
        </w:numPr>
        <w:spacing w:after="0" w:line="240" w:lineRule="auto"/>
        <w:jc w:val="both"/>
        <w:rPr>
          <w:rFonts w:ascii="Arial" w:hAnsi="Arial" w:cs="Arial"/>
          <w:bCs/>
          <w:sz w:val="20"/>
          <w:szCs w:val="20"/>
        </w:rPr>
      </w:pPr>
      <w:r>
        <w:rPr>
          <w:rFonts w:ascii="Arial" w:hAnsi="Arial" w:cs="Arial"/>
          <w:bCs/>
          <w:sz w:val="20"/>
          <w:szCs w:val="20"/>
        </w:rPr>
        <w:t xml:space="preserve">КП 2262 , викано место Востаничка, катастарска култура ГЗ, ЗПЗ 2,  право на сосопственост, со површина од 25 м2, </w:t>
      </w:r>
    </w:p>
    <w:p w:rsidR="006163C6" w:rsidRDefault="006163C6" w:rsidP="006163C6">
      <w:pPr>
        <w:numPr>
          <w:ilvl w:val="0"/>
          <w:numId w:val="1"/>
        </w:numPr>
        <w:spacing w:after="0" w:line="240" w:lineRule="auto"/>
        <w:jc w:val="both"/>
        <w:rPr>
          <w:rFonts w:ascii="Arial" w:hAnsi="Arial" w:cs="Arial"/>
          <w:bCs/>
          <w:sz w:val="20"/>
          <w:szCs w:val="20"/>
        </w:rPr>
      </w:pPr>
      <w:r>
        <w:rPr>
          <w:rFonts w:ascii="Arial" w:hAnsi="Arial" w:cs="Arial"/>
          <w:bCs/>
          <w:sz w:val="20"/>
          <w:szCs w:val="20"/>
        </w:rPr>
        <w:t>КП 2262, дел 0, адреса Востаничка 4 ,бр на зграда / др објект 1, намена на згр. преземена при конверзија на податоците од стариот ел. систем СТАН ВО СЕМЕЈНА ЗГРАДА, влез 001, кат 01, број 002, со внатрешна површина од 51м2,</w:t>
      </w:r>
    </w:p>
    <w:p w:rsidR="006163C6" w:rsidRDefault="006163C6" w:rsidP="006163C6">
      <w:pPr>
        <w:numPr>
          <w:ilvl w:val="0"/>
          <w:numId w:val="1"/>
        </w:numPr>
        <w:spacing w:after="0" w:line="240" w:lineRule="auto"/>
        <w:jc w:val="both"/>
        <w:rPr>
          <w:rFonts w:ascii="Arial" w:hAnsi="Arial" w:cs="Arial"/>
          <w:bCs/>
          <w:sz w:val="20"/>
          <w:szCs w:val="20"/>
        </w:rPr>
      </w:pPr>
      <w:r>
        <w:rPr>
          <w:rFonts w:ascii="Arial" w:hAnsi="Arial" w:cs="Arial"/>
          <w:bCs/>
          <w:sz w:val="20"/>
          <w:szCs w:val="20"/>
        </w:rPr>
        <w:t>КП 2262, дел 0, адреса Востаничка 4, бр на зграда / др објект 1, намена на згр. преземена при конверзија на податоците од стариот ел. систем ПОМОШНИ ПРОСТОРИИ, влез 001, кат ПО, број 002, со внатрешна површина од 41м2, и</w:t>
      </w:r>
    </w:p>
    <w:p w:rsidR="006163C6" w:rsidRDefault="006163C6" w:rsidP="006163C6">
      <w:pPr>
        <w:ind w:firstLine="720"/>
        <w:jc w:val="both"/>
        <w:rPr>
          <w:rFonts w:ascii="Arial" w:eastAsia="Times New Roman" w:hAnsi="Arial" w:cs="Arial"/>
          <w:lang w:val="ru-RU"/>
        </w:rPr>
      </w:pPr>
      <w:r>
        <w:rPr>
          <w:rFonts w:ascii="Arial" w:hAnsi="Arial" w:cs="Arial"/>
          <w:bCs/>
          <w:sz w:val="20"/>
          <w:szCs w:val="20"/>
        </w:rPr>
        <w:t>КП 2262, дел 0, адреса Востаничка 4 ,бр на зграда / др објект 1, намена на згр. преземена при конверзија на податоците од стариот ел. систем СТАН ВО СЕМЕЈНА ЗГРАДА</w:t>
      </w:r>
    </w:p>
    <w:p w:rsidR="006163C6" w:rsidRDefault="006163C6" w:rsidP="006163C6">
      <w:pPr>
        <w:jc w:val="both"/>
        <w:rPr>
          <w:rFonts w:ascii="Arial" w:eastAsia="Times New Roman" w:hAnsi="Arial" w:cs="Arial"/>
          <w:lang w:val="ru-RU"/>
        </w:rPr>
      </w:pPr>
      <w:r>
        <w:rPr>
          <w:rFonts w:ascii="Arial" w:eastAsia="Times New Roman" w:hAnsi="Arial" w:cs="Arial"/>
        </w:rPr>
        <w:t xml:space="preserve">сосопственост на должникот </w:t>
      </w:r>
      <w:r>
        <w:rPr>
          <w:rFonts w:ascii="Arial" w:eastAsia="Times New Roman" w:hAnsi="Arial" w:cs="Arial"/>
          <w:lang w:val="ru-RU"/>
        </w:rPr>
        <w:t>Здравко Михајловски.</w:t>
      </w:r>
    </w:p>
    <w:p w:rsidR="006163C6" w:rsidRDefault="006163C6" w:rsidP="006163C6">
      <w:pPr>
        <w:spacing w:after="0" w:line="240" w:lineRule="auto"/>
        <w:ind w:firstLine="720"/>
        <w:jc w:val="both"/>
        <w:rPr>
          <w:rFonts w:ascii="Arial" w:eastAsia="Times New Roman" w:hAnsi="Arial" w:cs="Arial"/>
          <w:b/>
        </w:rPr>
      </w:pPr>
      <w:r>
        <w:rPr>
          <w:rFonts w:ascii="Arial" w:eastAsia="Times New Roman" w:hAnsi="Arial" w:cs="Arial"/>
        </w:rPr>
        <w:t xml:space="preserve">Продажбата ќе се одржи на ден </w:t>
      </w:r>
      <w:r>
        <w:rPr>
          <w:rFonts w:ascii="Arial" w:eastAsia="Times New Roman" w:hAnsi="Arial" w:cs="Arial"/>
          <w:lang w:val="ru-RU"/>
        </w:rPr>
        <w:t xml:space="preserve">13.03.2020 </w:t>
      </w:r>
      <w:r>
        <w:rPr>
          <w:rFonts w:ascii="Arial" w:eastAsia="Times New Roman" w:hAnsi="Arial" w:cs="Arial"/>
        </w:rPr>
        <w:t xml:space="preserve">година во </w:t>
      </w:r>
      <w:r>
        <w:rPr>
          <w:rFonts w:ascii="Arial" w:eastAsia="Times New Roman" w:hAnsi="Arial" w:cs="Arial"/>
          <w:lang w:val="ru-RU"/>
        </w:rPr>
        <w:t xml:space="preserve">12,00 </w:t>
      </w:r>
      <w:r>
        <w:rPr>
          <w:rFonts w:ascii="Arial" w:eastAsia="Times New Roman" w:hAnsi="Arial" w:cs="Arial"/>
        </w:rPr>
        <w:t xml:space="preserve">часот  во просториите на </w:t>
      </w:r>
      <w:r>
        <w:rPr>
          <w:rFonts w:ascii="Arial" w:eastAsia="Times New Roman" w:hAnsi="Arial" w:cs="Arial"/>
          <w:lang w:val="ru-RU"/>
        </w:rPr>
        <w:t xml:space="preserve">Извршител Павел Томашевски на </w:t>
      </w:r>
      <w:r>
        <w:rPr>
          <w:rFonts w:ascii="Arial" w:eastAsia="Times New Roman" w:hAnsi="Arial" w:cs="Arial"/>
          <w:b/>
          <w:lang w:val="en-US"/>
        </w:rPr>
        <w:t xml:space="preserve">ул.11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r>
        <w:rPr>
          <w:rFonts w:ascii="Arial" w:eastAsia="Times New Roman" w:hAnsi="Arial" w:cs="Arial"/>
          <w:b/>
        </w:rPr>
        <w:t>.</w:t>
      </w:r>
    </w:p>
    <w:p w:rsidR="006163C6" w:rsidRDefault="006163C6" w:rsidP="006163C6">
      <w:pPr>
        <w:spacing w:after="0" w:line="240" w:lineRule="auto"/>
        <w:ind w:firstLine="720"/>
        <w:jc w:val="both"/>
        <w:rPr>
          <w:rFonts w:ascii="Arial" w:eastAsia="Times New Roman" w:hAnsi="Arial" w:cs="Arial"/>
        </w:rPr>
      </w:pP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lang w:val="ru-RU"/>
        </w:rPr>
        <w:t xml:space="preserve">Павел Томашевски </w:t>
      </w:r>
      <w:r>
        <w:rPr>
          <w:rFonts w:ascii="Arial" w:eastAsia="Times New Roman" w:hAnsi="Arial" w:cs="Arial"/>
        </w:rPr>
        <w:t xml:space="preserve">изнесува </w:t>
      </w:r>
      <w:r>
        <w:rPr>
          <w:rFonts w:ascii="Arial" w:eastAsia="Times New Roman" w:hAnsi="Arial" w:cs="Arial"/>
          <w:lang w:val="ru-RU"/>
        </w:rPr>
        <w:t xml:space="preserve">1.333.259,00 </w:t>
      </w:r>
      <w:r>
        <w:rPr>
          <w:rFonts w:ascii="Arial" w:eastAsia="Times New Roman" w:hAnsi="Arial" w:cs="Arial"/>
        </w:rPr>
        <w:t>денари, под која недвижноста не може да се продаде на второто јавно наддавање.</w:t>
      </w:r>
    </w:p>
    <w:p w:rsidR="006163C6" w:rsidRDefault="006163C6" w:rsidP="006163C6">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Налог за извршување чл.154 на извршител Павел Томашевски, Налог за извршување чл.169 на извршител Благоја Каламатиев, Налог за извршување чл.169 на извршител Андреја Буневски, Налог за извршување чл.169 на извршител Павел Томашевски.</w:t>
      </w: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еден ден пред одржување на јавното наддавање.</w:t>
      </w:r>
    </w:p>
    <w:p w:rsidR="006163C6" w:rsidRDefault="006163C6" w:rsidP="006163C6">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250015000107465 </w:t>
      </w:r>
      <w:r>
        <w:rPr>
          <w:rFonts w:ascii="Arial" w:eastAsia="Times New Roman" w:hAnsi="Arial" w:cs="Arial"/>
        </w:rPr>
        <w:t xml:space="preserve">која се води кај </w:t>
      </w:r>
      <w:r>
        <w:rPr>
          <w:rFonts w:ascii="Arial" w:eastAsia="Times New Roman" w:hAnsi="Arial" w:cs="Arial"/>
          <w:lang w:val="ru-RU"/>
        </w:rPr>
        <w:t xml:space="preserve">Шпаркасе банка АД Скопје </w:t>
      </w:r>
      <w:r>
        <w:rPr>
          <w:rFonts w:ascii="Arial" w:eastAsia="Times New Roman" w:hAnsi="Arial" w:cs="Arial"/>
        </w:rPr>
        <w:t xml:space="preserve"> и даночен број </w:t>
      </w:r>
      <w:r>
        <w:rPr>
          <w:rFonts w:ascii="Arial" w:eastAsia="Times New Roman" w:hAnsi="Arial" w:cs="Arial"/>
          <w:lang w:val="ru-RU"/>
        </w:rPr>
        <w:t>5032010500297.</w:t>
      </w: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163C6" w:rsidRDefault="006163C6" w:rsidP="006163C6">
      <w:pPr>
        <w:spacing w:after="0" w:line="240" w:lineRule="auto"/>
        <w:ind w:firstLine="720"/>
        <w:jc w:val="both"/>
        <w:rPr>
          <w:rFonts w:ascii="Arial" w:eastAsia="Times New Roman" w:hAnsi="Arial" w:cs="Arial"/>
        </w:rPr>
      </w:pP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и електронски на веб страницата на Комората </w:t>
      </w:r>
      <w:r>
        <w:rPr>
          <w:rFonts w:ascii="Arial" w:eastAsia="Times New Roman" w:hAnsi="Arial" w:cs="Arial"/>
        </w:rPr>
        <w:t>.</w:t>
      </w:r>
    </w:p>
    <w:p w:rsidR="006163C6" w:rsidRDefault="006163C6" w:rsidP="006163C6">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163C6" w:rsidRDefault="006163C6" w:rsidP="006163C6">
      <w:pPr>
        <w:autoSpaceDE w:val="0"/>
        <w:autoSpaceDN w:val="0"/>
        <w:adjustRightInd w:val="0"/>
        <w:spacing w:after="0" w:line="240" w:lineRule="auto"/>
        <w:rPr>
          <w:rFonts w:ascii="Arial" w:hAnsi="Arial" w:cs="Arial"/>
          <w:sz w:val="20"/>
          <w:szCs w:val="20"/>
          <w:lang w:val="en-US"/>
        </w:rPr>
      </w:pPr>
      <w:r>
        <w:rPr>
          <w:rFonts w:ascii="Arial" w:hAnsi="Arial" w:cs="Arial"/>
        </w:rPr>
        <w:tab/>
      </w:r>
      <w:r>
        <w:rPr>
          <w:rFonts w:ascii="Arial" w:hAnsi="Arial" w:cs="Arial"/>
        </w:rPr>
        <w:tab/>
        <w:t xml:space="preserve">        </w:t>
      </w:r>
      <w:r>
        <w:rPr>
          <w:rFonts w:ascii="Arial" w:hAnsi="Arial" w:cs="Arial"/>
        </w:rPr>
        <w:tab/>
        <w:t xml:space="preserve">  </w:t>
      </w:r>
    </w:p>
    <w:p w:rsidR="006163C6" w:rsidRDefault="006163C6" w:rsidP="006163C6">
      <w:pPr>
        <w:autoSpaceDE w:val="0"/>
        <w:autoSpaceDN w:val="0"/>
        <w:adjustRightInd w:val="0"/>
        <w:spacing w:after="0" w:line="240" w:lineRule="auto"/>
        <w:rPr>
          <w:rFonts w:ascii="Arial" w:hAnsi="Arial" w:cs="Arial"/>
          <w:sz w:val="20"/>
          <w:szCs w:val="20"/>
        </w:rPr>
      </w:pPr>
    </w:p>
    <w:p w:rsidR="006163C6" w:rsidRDefault="006163C6" w:rsidP="006163C6">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6163C6" w:rsidTr="006163C6">
        <w:trPr>
          <w:trHeight w:val="851"/>
        </w:trPr>
        <w:tc>
          <w:tcPr>
            <w:tcW w:w="4297" w:type="dxa"/>
            <w:hideMark/>
          </w:tcPr>
          <w:p w:rsidR="006163C6" w:rsidRDefault="006163C6">
            <w:pPr>
              <w:pStyle w:val="BodyText"/>
              <w:jc w:val="center"/>
              <w:rPr>
                <w:rFonts w:ascii="Arial" w:hAnsi="Arial" w:cs="Arial"/>
                <w:sz w:val="22"/>
                <w:szCs w:val="22"/>
                <w:lang w:val="mk-MK"/>
              </w:rPr>
            </w:pPr>
            <w:bookmarkStart w:id="22" w:name="OIzvIme"/>
            <w:bookmarkEnd w:id="22"/>
            <w:r>
              <w:rPr>
                <w:rFonts w:ascii="Arial" w:hAnsi="Arial" w:cs="Arial"/>
                <w:sz w:val="22"/>
                <w:szCs w:val="22"/>
                <w:lang w:val="mk-MK"/>
              </w:rPr>
              <w:t>Павел Томашевски</w:t>
            </w:r>
          </w:p>
          <w:p w:rsidR="006163C6" w:rsidRDefault="006163C6">
            <w:pPr>
              <w:pStyle w:val="BodyText"/>
              <w:jc w:val="center"/>
              <w:rPr>
                <w:rFonts w:ascii="Arial" w:hAnsi="Arial" w:cs="Arial"/>
                <w:sz w:val="22"/>
                <w:szCs w:val="22"/>
                <w:lang w:val="mk-MK"/>
              </w:rPr>
            </w:pPr>
            <w:r>
              <w:rPr>
                <w:rFonts w:ascii="Arial" w:hAnsi="Arial" w:cs="Arial"/>
                <w:sz w:val="22"/>
                <w:szCs w:val="22"/>
                <w:lang w:val="mk-MK"/>
              </w:rPr>
              <w:t>Заменик извршител</w:t>
            </w:r>
          </w:p>
          <w:p w:rsidR="006163C6" w:rsidRDefault="006163C6">
            <w:pPr>
              <w:pStyle w:val="BodyText"/>
              <w:jc w:val="center"/>
              <w:rPr>
                <w:rFonts w:ascii="Arial" w:hAnsi="Arial" w:cs="Arial"/>
                <w:sz w:val="22"/>
                <w:szCs w:val="22"/>
                <w:lang w:val="mk-MK"/>
              </w:rPr>
            </w:pPr>
            <w:r>
              <w:rPr>
                <w:rFonts w:ascii="Arial" w:hAnsi="Arial" w:cs="Arial"/>
                <w:sz w:val="22"/>
                <w:szCs w:val="22"/>
                <w:lang w:val="mk-MK"/>
              </w:rPr>
              <w:t>Светлана Стајковиќ Циговиќ</w:t>
            </w:r>
          </w:p>
        </w:tc>
      </w:tr>
    </w:tbl>
    <w:p w:rsidR="006163C6" w:rsidRDefault="006163C6" w:rsidP="006163C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t>доверител</w:t>
      </w:r>
    </w:p>
    <w:p w:rsidR="006163C6" w:rsidRDefault="006163C6" w:rsidP="006163C6">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должник</w:t>
      </w:r>
    </w:p>
    <w:p w:rsidR="006163C6" w:rsidRDefault="006163C6" w:rsidP="006163C6">
      <w:pPr>
        <w:autoSpaceDE w:val="0"/>
        <w:autoSpaceDN w:val="0"/>
        <w:adjustRightInd w:val="0"/>
        <w:spacing w:after="0" w:line="240" w:lineRule="auto"/>
        <w:rPr>
          <w:rFonts w:ascii="Arial" w:hAnsi="Arial" w:cs="Arial"/>
          <w:sz w:val="20"/>
          <w:szCs w:val="20"/>
        </w:rPr>
      </w:pPr>
      <w:r>
        <w:rPr>
          <w:rFonts w:ascii="Arial" w:hAnsi="Arial" w:cs="Arial"/>
          <w:sz w:val="20"/>
          <w:szCs w:val="20"/>
        </w:rPr>
        <w:tab/>
        <w:t>Град Скопје - Сектор за финансии</w:t>
      </w:r>
      <w:r>
        <w:rPr>
          <w:rFonts w:ascii="Arial" w:hAnsi="Arial" w:cs="Arial"/>
          <w:sz w:val="20"/>
          <w:szCs w:val="20"/>
        </w:rPr>
        <w:tab/>
      </w:r>
      <w:r>
        <w:rPr>
          <w:rFonts w:ascii="Arial" w:hAnsi="Arial" w:cs="Arial"/>
          <w:sz w:val="20"/>
          <w:szCs w:val="20"/>
        </w:rPr>
        <w:tab/>
        <w:t>Одделение за наплата на даноци,</w:t>
      </w:r>
    </w:p>
    <w:p w:rsidR="00D83733" w:rsidRPr="00D83733" w:rsidRDefault="006163C6" w:rsidP="006163C6">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ab/>
        <w:t>такси и други надоместоци</w:t>
      </w:r>
    </w:p>
    <w:p w:rsidR="006163C6" w:rsidRDefault="006163C6" w:rsidP="006163C6">
      <w:pPr>
        <w:autoSpaceDE w:val="0"/>
        <w:autoSpaceDN w:val="0"/>
        <w:adjustRightInd w:val="0"/>
        <w:spacing w:after="0" w:line="240" w:lineRule="auto"/>
        <w:jc w:val="right"/>
        <w:rPr>
          <w:rFonts w:ascii="Arial" w:hAnsi="Arial" w:cs="Arial"/>
        </w:rPr>
      </w:pPr>
      <w:r>
        <w:rPr>
          <w:rFonts w:ascii="Arial" w:hAnsi="Arial" w:cs="Arial"/>
          <w:lang w:val="en-US"/>
        </w:rPr>
        <w:br w:type="textWrapping" w:clear="all"/>
      </w:r>
      <w:r>
        <w:rPr>
          <w:rFonts w:ascii="Arial" w:hAnsi="Arial" w:cs="Arial"/>
          <w:sz w:val="20"/>
          <w:szCs w:val="20"/>
        </w:rPr>
        <w:t xml:space="preserve">                                                                                                  </w:t>
      </w:r>
      <w:r w:rsidR="00D837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5pt;height:59.1pt" wrapcoords="-63 0 -63 21016 21600 21016 21600 0 -63 0" o:allowoverlap="f">
            <v:imagedata r:id="rId6" o:title=""/>
            <o:lock v:ext="edit" ungrouping="t" rotation="t" cropping="t" verticies="t" grouping="t"/>
            <o:signatureline v:ext="edit" id="{55629C8E-38E2-437A-8892-1BC7B1447794}" provid="{00000000-0000-0000-0000-000000000000}" signinginstructionsset="t" issignatureline="t"/>
          </v:shape>
        </w:pict>
      </w:r>
    </w:p>
    <w:p w:rsidR="006163C6" w:rsidRDefault="006163C6" w:rsidP="006163C6">
      <w:pPr>
        <w:jc w:val="both"/>
        <w:rPr>
          <w:rFonts w:ascii="Arial" w:hAnsi="Arial" w:cs="Arial"/>
          <w:b/>
          <w:sz w:val="20"/>
          <w:szCs w:val="20"/>
          <w:lang w:val="en-US"/>
        </w:rPr>
      </w:pPr>
    </w:p>
    <w:p w:rsidR="006163C6" w:rsidRDefault="006163C6" w:rsidP="006163C6">
      <w:pPr>
        <w:autoSpaceDE w:val="0"/>
        <w:autoSpaceDN w:val="0"/>
        <w:adjustRightInd w:val="0"/>
        <w:spacing w:after="0" w:line="240" w:lineRule="auto"/>
      </w:pPr>
    </w:p>
    <w:p w:rsidR="00DD4F4A" w:rsidRDefault="00DD4F4A"/>
    <w:sectPr w:rsidR="00DD4F4A" w:rsidSect="00DD4F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654D5"/>
    <w:multiLevelType w:val="hybridMultilevel"/>
    <w:tmpl w:val="E74A8C88"/>
    <w:lvl w:ilvl="0" w:tplc="48DC8E0C">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63C6"/>
    <w:rsid w:val="006163C6"/>
    <w:rsid w:val="00D83733"/>
    <w:rsid w:val="00DD4F4A"/>
    <w:rsid w:val="00F24DF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163C6"/>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163C6"/>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61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C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2020-02-14T12:07:00Z</dcterms:created>
  <dcterms:modified xsi:type="dcterms:W3CDTF">2020-02-17T07:11:00Z</dcterms:modified>
</cp:coreProperties>
</file>