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984"/>
        <w:gridCol w:w="9086"/>
      </w:tblGrid>
      <w:tr w:rsidR="007E14B4" w:rsidRPr="007E14B4" w:rsidTr="007E14B4">
        <w:tc>
          <w:tcPr>
            <w:tcW w:w="566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E14B4" w:rsidRPr="007E14B4" w:rsidTr="007E14B4">
        <w:tc>
          <w:tcPr>
            <w:tcW w:w="566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OPodracjeSudGore"/>
            <w:bookmarkEnd w:id="0"/>
          </w:p>
        </w:tc>
        <w:tc>
          <w:tcPr>
            <w:tcW w:w="993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  <w:hideMark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E14B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</w:t>
            </w:r>
            <w:r w:rsidRPr="007E14B4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7E14B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Pr="007E14B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3549/2024 </w:t>
            </w:r>
          </w:p>
        </w:tc>
      </w:tr>
      <w:tr w:rsidR="007E14B4" w:rsidRPr="007E14B4" w:rsidTr="007E14B4">
        <w:tc>
          <w:tcPr>
            <w:tcW w:w="566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</w:p>
        </w:tc>
        <w:tc>
          <w:tcPr>
            <w:tcW w:w="993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</w:tcPr>
          <w:p w:rsidR="007E14B4" w:rsidRPr="007E14B4" w:rsidRDefault="007E14B4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7E14B4" w:rsidRPr="007E14B4" w:rsidRDefault="007E14B4" w:rsidP="007E14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3" w:name="OAdresaIzv"/>
      <w:bookmarkEnd w:id="3"/>
      <w:r w:rsidRPr="007E14B4">
        <w:rPr>
          <w:rFonts w:ascii="Arial" w:hAnsi="Arial" w:cs="Arial"/>
          <w:sz w:val="20"/>
          <w:szCs w:val="20"/>
        </w:rPr>
        <w:t xml:space="preserve">Извршителот </w:t>
      </w:r>
      <w:bookmarkStart w:id="4" w:name="Izvrsitel"/>
      <w:bookmarkEnd w:id="4"/>
      <w:r w:rsidRPr="007E14B4">
        <w:rPr>
          <w:rFonts w:ascii="Arial" w:hAnsi="Arial" w:cs="Arial"/>
          <w:sz w:val="20"/>
          <w:szCs w:val="20"/>
        </w:rPr>
        <w:t xml:space="preserve">Андреја Буневски, ул.Њуделхиска бр.4-2/1 врз основа на барањето за спроведување на извршување од </w:t>
      </w:r>
      <w:bookmarkStart w:id="5" w:name="Doveritel1"/>
      <w:bookmarkEnd w:id="5"/>
      <w:r w:rsidRPr="007E14B4">
        <w:rPr>
          <w:rFonts w:ascii="Arial" w:hAnsi="Arial" w:cs="Arial"/>
          <w:sz w:val="20"/>
          <w:szCs w:val="20"/>
        </w:rPr>
        <w:t xml:space="preserve">доверителот ПроКредит Банка АД Скопје со </w:t>
      </w:r>
      <w:bookmarkStart w:id="6" w:name="opis_edb1"/>
      <w:bookmarkEnd w:id="6"/>
      <w:r w:rsidRPr="007E14B4">
        <w:rPr>
          <w:rFonts w:ascii="Arial" w:hAnsi="Arial" w:cs="Arial"/>
          <w:sz w:val="20"/>
          <w:szCs w:val="20"/>
        </w:rPr>
        <w:t xml:space="preserve">ЕДБ 4030003482066 и ЕМБС 5774136 </w:t>
      </w:r>
      <w:bookmarkStart w:id="7" w:name="edb1"/>
      <w:bookmarkStart w:id="8" w:name="opis_sed1"/>
      <w:bookmarkEnd w:id="7"/>
      <w:bookmarkEnd w:id="8"/>
      <w:r w:rsidRPr="007E14B4">
        <w:rPr>
          <w:rFonts w:ascii="Arial" w:hAnsi="Arial" w:cs="Arial"/>
          <w:sz w:val="20"/>
          <w:szCs w:val="20"/>
        </w:rPr>
        <w:t xml:space="preserve">и седиште на </w:t>
      </w:r>
      <w:bookmarkStart w:id="9" w:name="adresa1"/>
      <w:bookmarkEnd w:id="9"/>
      <w:r w:rsidRPr="007E14B4">
        <w:rPr>
          <w:rFonts w:ascii="Arial" w:hAnsi="Arial" w:cs="Arial"/>
          <w:sz w:val="20"/>
          <w:szCs w:val="20"/>
        </w:rPr>
        <w:t>ул.МАНАПО 7</w:t>
      </w:r>
      <w:r w:rsidRPr="007E14B4">
        <w:rPr>
          <w:rFonts w:ascii="Arial" w:hAnsi="Arial" w:cs="Arial"/>
          <w:sz w:val="20"/>
          <w:szCs w:val="20"/>
          <w:lang w:val="ru-RU"/>
        </w:rPr>
        <w:t>,</w:t>
      </w:r>
      <w:r w:rsidRPr="007E14B4">
        <w:rPr>
          <w:rFonts w:ascii="Arial" w:hAnsi="Arial" w:cs="Arial"/>
          <w:sz w:val="20"/>
          <w:szCs w:val="20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7E14B4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4" w:name="IzvIsprava"/>
      <w:bookmarkEnd w:id="14"/>
      <w:r w:rsidRPr="007E14B4">
        <w:rPr>
          <w:rFonts w:ascii="Arial" w:hAnsi="Arial" w:cs="Arial"/>
          <w:sz w:val="20"/>
          <w:szCs w:val="20"/>
        </w:rPr>
        <w:t xml:space="preserve">НОТАРСКИ АКТ ОДУ.бр.431/20 од 29.05.2020 год. на Нотар Анастасија Петреска од Скопје, НОТАРСКИ АКТ ОДУ.бр.433/21 од 12.04.2021 год. на Нотар Анастасија Петреска од Скопје и НОТАРСКИ АКТ ОДУ.бр.498/23 од 08.05.2023 год. на Нотар Анастасија Петреска од Скопје, против </w:t>
      </w:r>
      <w:bookmarkStart w:id="15" w:name="Dolznik1"/>
      <w:bookmarkEnd w:id="15"/>
      <w:r w:rsidRPr="007E14B4">
        <w:rPr>
          <w:rFonts w:ascii="Arial" w:hAnsi="Arial" w:cs="Arial"/>
          <w:sz w:val="20"/>
          <w:szCs w:val="20"/>
        </w:rPr>
        <w:t xml:space="preserve">должниците Ислам Рамизи од </w:t>
      </w:r>
      <w:bookmarkStart w:id="16" w:name="DolzGrad1"/>
      <w:bookmarkEnd w:id="16"/>
      <w:r w:rsidRPr="007E14B4">
        <w:rPr>
          <w:rFonts w:ascii="Arial" w:hAnsi="Arial" w:cs="Arial"/>
          <w:sz w:val="20"/>
          <w:szCs w:val="20"/>
        </w:rPr>
        <w:t xml:space="preserve">Тетово со </w:t>
      </w:r>
      <w:bookmarkStart w:id="17" w:name="opis_edb1_dolz"/>
      <w:bookmarkEnd w:id="17"/>
      <w:r w:rsidRPr="007E14B4">
        <w:rPr>
          <w:rFonts w:ascii="Arial" w:hAnsi="Arial" w:cs="Arial"/>
          <w:sz w:val="20"/>
          <w:szCs w:val="20"/>
        </w:rPr>
        <w:t xml:space="preserve">живеалиште на ул.181 бр.28 </w:t>
      </w:r>
      <w:bookmarkStart w:id="18" w:name="Dolznik2"/>
      <w:bookmarkEnd w:id="18"/>
      <w:r w:rsidRPr="007E14B4">
        <w:rPr>
          <w:rFonts w:ascii="Arial" w:hAnsi="Arial" w:cs="Arial"/>
          <w:sz w:val="20"/>
          <w:szCs w:val="20"/>
        </w:rPr>
        <w:t xml:space="preserve">и Друштво за производство, трговија, градежништво, туризам и транспорт КАБИ ИНВЕСТ ДОО експорт-импорт Тетово со ЕДБ 4028002144561 и ЕМБС 5711312 и седиште на ул.19-ти Ноември бр.ловец 3, за спроведување на извршување </w:t>
      </w:r>
      <w:bookmarkStart w:id="19" w:name="VredPredmet"/>
      <w:bookmarkEnd w:id="19"/>
      <w:r w:rsidRPr="007E14B4">
        <w:rPr>
          <w:rFonts w:ascii="Arial" w:hAnsi="Arial" w:cs="Arial"/>
          <w:sz w:val="20"/>
          <w:szCs w:val="20"/>
        </w:rPr>
        <w:t xml:space="preserve">во вредност 12.191.436,00 денари, 12.591.273,00 денари и 436.954,39 евра на ден </w:t>
      </w:r>
      <w:bookmarkStart w:id="20" w:name="DatumIzdava"/>
      <w:bookmarkEnd w:id="20"/>
      <w:r w:rsidRPr="007E14B4">
        <w:rPr>
          <w:rFonts w:ascii="Arial" w:hAnsi="Arial" w:cs="Arial"/>
          <w:sz w:val="20"/>
          <w:szCs w:val="20"/>
        </w:rPr>
        <w:t>02.03.2026 година го донесува следниот:</w:t>
      </w:r>
    </w:p>
    <w:p w:rsidR="007E14B4" w:rsidRPr="007E14B4" w:rsidRDefault="007E14B4" w:rsidP="007E14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E14B4" w:rsidRPr="007E14B4" w:rsidRDefault="007E14B4" w:rsidP="007E14B4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E14B4">
        <w:rPr>
          <w:rFonts w:ascii="Arial" w:hAnsi="Arial" w:cs="Arial"/>
          <w:b/>
          <w:sz w:val="20"/>
          <w:szCs w:val="20"/>
        </w:rPr>
        <w:t>З А К Л У Ч О К</w:t>
      </w:r>
    </w:p>
    <w:p w:rsidR="007E14B4" w:rsidRPr="007E14B4" w:rsidRDefault="007E14B4" w:rsidP="007E14B4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E14B4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7E14B4" w:rsidRPr="007E14B4" w:rsidRDefault="007E14B4" w:rsidP="007E14B4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E14B4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7E14B4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7E14B4">
        <w:rPr>
          <w:rFonts w:ascii="Arial" w:hAnsi="Arial" w:cs="Arial"/>
          <w:b/>
          <w:sz w:val="20"/>
          <w:szCs w:val="20"/>
        </w:rPr>
        <w:t>)</w:t>
      </w:r>
    </w:p>
    <w:p w:rsidR="007E14B4" w:rsidRPr="007E14B4" w:rsidRDefault="007E14B4" w:rsidP="007E14B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E14B4">
        <w:rPr>
          <w:rFonts w:ascii="Arial" w:hAnsi="Arial" w:cs="Arial"/>
          <w:sz w:val="20"/>
          <w:szCs w:val="20"/>
        </w:rPr>
        <w:t xml:space="preserve"> </w:t>
      </w:r>
    </w:p>
    <w:p w:rsidR="007E14B4" w:rsidRPr="007E14B4" w:rsidRDefault="007E14B4" w:rsidP="007E14B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E14B4">
        <w:rPr>
          <w:rFonts w:ascii="Arial" w:hAnsi="Arial" w:cs="Arial"/>
          <w:sz w:val="20"/>
          <w:szCs w:val="20"/>
        </w:rPr>
        <w:t>СЕ ОПРЕДЕЛУВА продажба со усно јавно наддавање на недвижноста означена како:</w:t>
      </w:r>
    </w:p>
    <w:p w:rsidR="007E14B4" w:rsidRPr="007E14B4" w:rsidRDefault="007E14B4" w:rsidP="007E14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7E14B4">
        <w:rPr>
          <w:rFonts w:ascii="Arial" w:hAnsi="Arial" w:cs="Arial"/>
          <w:b/>
          <w:bCs/>
          <w:sz w:val="20"/>
          <w:szCs w:val="20"/>
        </w:rPr>
        <w:t>Земјиште под зграда на викано место/улица Град Тетово, со вкупна површина од 190 м² која лежи на КП.бр.5216 дел 1, запишани во Имотен Лист бр.34303 за КО Тетово 2 при АКН – Центар за катастар на недвижности Тетово;</w:t>
      </w:r>
    </w:p>
    <w:p w:rsidR="007E14B4" w:rsidRPr="007E14B4" w:rsidRDefault="007E14B4" w:rsidP="007E14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7E14B4">
        <w:rPr>
          <w:rFonts w:ascii="Arial" w:hAnsi="Arial" w:cs="Arial"/>
          <w:b/>
          <w:bCs/>
          <w:sz w:val="20"/>
          <w:szCs w:val="20"/>
        </w:rPr>
        <w:t>Двор на викано место/улица Град Тетово, со вкупна површина од 922 м² која лежи на КП.бр.5216 дел 1, запишани во Имотен Лист бр.34303 за КО Тетово 2 при АКН – Центар за катастар на недвижности Тетово;</w:t>
      </w:r>
    </w:p>
    <w:p w:rsidR="007E14B4" w:rsidRPr="007E14B4" w:rsidRDefault="007E14B4" w:rsidP="007E14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7E14B4">
        <w:rPr>
          <w:rFonts w:ascii="Arial" w:hAnsi="Arial" w:cs="Arial"/>
          <w:b/>
          <w:bCs/>
          <w:sz w:val="20"/>
          <w:szCs w:val="20"/>
        </w:rPr>
        <w:t>Стамбена зграда-стан на адреса Ул.180 ББ, со вкупна површина од 144 м² кој лежи на КП.бр.5216 дел 1, зграда 1 влез 1 кат 01, запишани во Имотен Лист бр.34303 за КО Тетово 2 при АКН – Центар за катастар на недвижности Тетово;</w:t>
      </w:r>
    </w:p>
    <w:p w:rsidR="007E14B4" w:rsidRPr="007E14B4" w:rsidRDefault="007E14B4" w:rsidP="007E14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7E14B4">
        <w:rPr>
          <w:rFonts w:ascii="Arial" w:hAnsi="Arial" w:cs="Arial"/>
          <w:b/>
          <w:bCs/>
          <w:sz w:val="20"/>
          <w:szCs w:val="20"/>
        </w:rPr>
        <w:t>Помошни простории на адреса Ул.180 ББ, со вкупна површина од 143 м² кој лежи на КП.бр.5216 дел 1, зграда 1 влез 1 кат ПО, запишани во Имотен Лист бр.34303 за КО Тетово 2 при АКН – Центар за катастар на недвижности Тетово;</w:t>
      </w:r>
    </w:p>
    <w:p w:rsidR="007E14B4" w:rsidRPr="007E14B4" w:rsidRDefault="007E14B4" w:rsidP="007E14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E14B4">
        <w:rPr>
          <w:rFonts w:ascii="Arial" w:hAnsi="Arial" w:cs="Arial"/>
          <w:b/>
          <w:bCs/>
          <w:sz w:val="20"/>
          <w:szCs w:val="20"/>
        </w:rPr>
        <w:t xml:space="preserve">Стамбена зграда-стан на адреса Ул.180 ББ, со вкупна површина од 150 м² кој лежи на КП.бр.5216 дел 1, зграда 1 влез 1 кат ПР, запишани во Имотен Лист бр.34303 за КО Тетово 2 при АКН – Центар за катастар на недвижности Тетово, </w:t>
      </w:r>
      <w:r w:rsidRPr="007E14B4">
        <w:rPr>
          <w:rFonts w:ascii="Arial" w:hAnsi="Arial" w:cs="Arial"/>
          <w:sz w:val="20"/>
          <w:szCs w:val="20"/>
        </w:rPr>
        <w:t xml:space="preserve">во </w:t>
      </w:r>
      <w:r w:rsidRPr="007E14B4">
        <w:rPr>
          <w:rFonts w:ascii="Arial" w:eastAsia="Times New Roman" w:hAnsi="Arial" w:cs="Arial"/>
          <w:sz w:val="20"/>
          <w:szCs w:val="20"/>
        </w:rPr>
        <w:t xml:space="preserve">сопственост на </w:t>
      </w:r>
      <w:r w:rsidRPr="007E14B4">
        <w:rPr>
          <w:rFonts w:ascii="Arial" w:hAnsi="Arial" w:cs="Arial"/>
          <w:sz w:val="20"/>
          <w:szCs w:val="20"/>
        </w:rPr>
        <w:t>должникот Ислам Рамизи од Тетово со живеалиште на ул.181 бр.28.</w:t>
      </w:r>
    </w:p>
    <w:p w:rsidR="007E14B4" w:rsidRPr="007E14B4" w:rsidRDefault="007E14B4" w:rsidP="007E14B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7E14B4" w:rsidRPr="007E14B4" w:rsidRDefault="007E14B4" w:rsidP="007E14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14B4">
        <w:rPr>
          <w:rFonts w:ascii="Arial" w:hAnsi="Arial" w:cs="Arial"/>
          <w:sz w:val="20"/>
          <w:szCs w:val="20"/>
        </w:rPr>
        <w:t xml:space="preserve">Продажбата ќе се одржи на ден 02.04.2026 година во 12:00 часот во просториите на извршител Андреја Буневски од Скопје, </w:t>
      </w:r>
      <w:proofErr w:type="spellStart"/>
      <w:r w:rsidRPr="007E14B4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7E14B4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7E14B4">
        <w:rPr>
          <w:rFonts w:ascii="Arial" w:hAnsi="Arial" w:cs="Arial"/>
          <w:sz w:val="20"/>
          <w:szCs w:val="20"/>
        </w:rPr>
        <w:t>. Почетната вредност на недвижноста, утврдена со заклучок на извршителот И.бр.3549/2024, изнесува 28.587.320,00 денари, под која недвижноста неможе да се продаде на првото јавно наддавање. Недвижноста е оптоварена со следните товари и службености: Хипотека во корист на ПроКредит Банка АД Скопје, врз основа на НОТАРСКИ АКТ ОДУ.бр.431/20 од 29.05.2020 год. на Нотар Анастасија Петреска од Скопје, НОТАРСКИ АКТ ОДУ.бр.433/21 од 12.04.2021 год. на Нотар Анастасија Петреска од Скопје и НОТАРСКИ АКТ ОДУ.бр.498/23 од 08.05.2023 год. на Нотар Анастасија Петреска од Скопје, за износ на побарување 1500000 ЕМУ (</w:t>
      </w:r>
      <w:r w:rsidRPr="007E14B4">
        <w:rPr>
          <w:rFonts w:ascii="Arial" w:hAnsi="Arial" w:cs="Arial"/>
          <w:sz w:val="20"/>
          <w:szCs w:val="20"/>
          <w:lang w:val="en-US"/>
        </w:rPr>
        <w:t>EU)</w:t>
      </w:r>
      <w:r w:rsidRPr="007E14B4">
        <w:rPr>
          <w:rFonts w:ascii="Arial" w:hAnsi="Arial" w:cs="Arial"/>
          <w:sz w:val="20"/>
          <w:szCs w:val="20"/>
        </w:rPr>
        <w:t>, налог за извршување врз недвижност (врз основа на член 166 од Законот за извршување) И.бр.3549/2024 од 15.08.2024 година на Извршител Андреја Буневски, налог за извршување врз недвижност (врз основа на член 166 од Законот на извршување) И.бр.4099/2024 од 26.08.2024 година на Извршител Весна Деловска.</w:t>
      </w:r>
    </w:p>
    <w:p w:rsidR="007E14B4" w:rsidRPr="007E14B4" w:rsidRDefault="007E14B4" w:rsidP="007E14B4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0"/>
          <w:szCs w:val="20"/>
        </w:rPr>
      </w:pPr>
      <w:r w:rsidRPr="007E14B4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7E14B4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7E14B4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2.858.732,00 денари. Уплатата на паричните средства на име гаранција се врши на жиро сметката од извршителот со бр.270061142960293 депонент</w:t>
      </w:r>
      <w:r w:rsidRPr="007E14B4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7E14B4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</w:t>
      </w:r>
      <w:r w:rsidR="00481635">
        <w:rPr>
          <w:rFonts w:ascii="Arial" w:hAnsi="Arial" w:cs="Arial"/>
          <w:sz w:val="20"/>
          <w:szCs w:val="20"/>
        </w:rPr>
        <w:t xml:space="preserve"> </w:t>
      </w:r>
      <w:r w:rsidRPr="007E14B4">
        <w:rPr>
          <w:rFonts w:ascii="Arial" w:hAnsi="Arial" w:cs="Arial"/>
          <w:sz w:val="20"/>
          <w:szCs w:val="20"/>
        </w:rPr>
        <w:t xml:space="preserve">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</w:t>
      </w:r>
      <w:r w:rsidRPr="007E14B4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7E14B4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E14B4" w:rsidRPr="007E14B4" w:rsidRDefault="007E14B4" w:rsidP="007E14B4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7E14B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7E14B4">
        <w:rPr>
          <w:rFonts w:ascii="Arial" w:hAnsi="Arial" w:cs="Arial"/>
          <w:sz w:val="20"/>
          <w:szCs w:val="20"/>
          <w:lang w:val="en-GB"/>
        </w:rPr>
        <w:t xml:space="preserve">         </w:t>
      </w:r>
      <w:r w:rsidRPr="007E14B4">
        <w:rPr>
          <w:rFonts w:ascii="Arial" w:hAnsi="Arial" w:cs="Arial"/>
          <w:sz w:val="20"/>
          <w:szCs w:val="20"/>
          <w:lang w:val="en-US"/>
        </w:rPr>
        <w:t xml:space="preserve">        </w:t>
      </w:r>
      <w:bookmarkStart w:id="21" w:name="_GoBack"/>
      <w:bookmarkEnd w:id="21"/>
      <w:r w:rsidRPr="007E14B4">
        <w:rPr>
          <w:rFonts w:ascii="Arial" w:hAnsi="Arial" w:cs="Arial"/>
          <w:sz w:val="20"/>
          <w:szCs w:val="20"/>
          <w:lang w:val="en-US"/>
        </w:rPr>
        <w:t xml:space="preserve"> </w:t>
      </w:r>
      <w:r w:rsidRPr="007E14B4">
        <w:rPr>
          <w:rFonts w:ascii="Arial" w:hAnsi="Arial" w:cs="Arial"/>
          <w:sz w:val="20"/>
          <w:szCs w:val="20"/>
        </w:rPr>
        <w:t xml:space="preserve">    </w:t>
      </w:r>
      <w:r w:rsidRPr="007E14B4">
        <w:rPr>
          <w:rFonts w:ascii="Arial" w:hAnsi="Arial" w:cs="Arial"/>
          <w:sz w:val="20"/>
          <w:szCs w:val="20"/>
          <w:lang w:val="en-US"/>
        </w:rPr>
        <w:t xml:space="preserve">    </w:t>
      </w:r>
      <w:r w:rsidRPr="007E14B4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E14B4" w:rsidRPr="007E14B4" w:rsidTr="007E14B4">
        <w:trPr>
          <w:trHeight w:val="851"/>
        </w:trPr>
        <w:tc>
          <w:tcPr>
            <w:tcW w:w="4297" w:type="dxa"/>
            <w:hideMark/>
          </w:tcPr>
          <w:p w:rsidR="007E14B4" w:rsidRPr="007E14B4" w:rsidRDefault="007E14B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2" w:name="OIzvIme"/>
            <w:bookmarkEnd w:id="22"/>
            <w:r w:rsidRPr="007E14B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Андреја Буневски</w:t>
            </w:r>
          </w:p>
          <w:p w:rsidR="007E14B4" w:rsidRPr="007E14B4" w:rsidRDefault="007E14B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E14B4" w:rsidRPr="007E14B4" w:rsidRDefault="007E14B4" w:rsidP="007E14B4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7E14B4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sectPr w:rsidR="007E14B4" w:rsidRPr="007E14B4" w:rsidSect="007E14B4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872"/>
    <w:multiLevelType w:val="hybridMultilevel"/>
    <w:tmpl w:val="36E2F6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B4"/>
    <w:rsid w:val="00481635"/>
    <w:rsid w:val="00633609"/>
    <w:rsid w:val="007E14B4"/>
    <w:rsid w:val="0098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57781-A887-49FB-A7C3-4785B773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4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2026-03-04T14:37:00Z</dcterms:created>
  <dcterms:modified xsi:type="dcterms:W3CDTF">2026-03-04T14:40:00Z</dcterms:modified>
</cp:coreProperties>
</file>