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88" w:rsidRPr="00201162" w:rsidRDefault="00486BE6" w:rsidP="00762D88">
      <w:pPr>
        <w:autoSpaceDE w:val="0"/>
        <w:autoSpaceDN w:val="0"/>
        <w:adjustRightInd w:val="0"/>
        <w:jc w:val="right"/>
        <w:rPr>
          <w:rFonts w:ascii="Arial" w:hAnsi="Arial" w:cs="Arial"/>
          <w:sz w:val="20"/>
          <w:szCs w:val="20"/>
        </w:rPr>
      </w:pPr>
      <w:r w:rsidRPr="00762D88">
        <w:t xml:space="preserve"> </w:t>
      </w:r>
    </w:p>
    <w:tbl>
      <w:tblPr>
        <w:tblW w:w="0" w:type="auto"/>
        <w:tblLook w:val="04A0"/>
      </w:tblPr>
      <w:tblGrid>
        <w:gridCol w:w="6010"/>
        <w:gridCol w:w="536"/>
        <w:gridCol w:w="926"/>
        <w:gridCol w:w="2824"/>
      </w:tblGrid>
      <w:tr w:rsidR="00762D88" w:rsidRPr="00201162" w:rsidTr="00841688">
        <w:tc>
          <w:tcPr>
            <w:tcW w:w="6204" w:type="dxa"/>
            <w:hideMark/>
          </w:tcPr>
          <w:p w:rsidR="00762D88" w:rsidRPr="00201162" w:rsidRDefault="00762D88" w:rsidP="00841688">
            <w:pPr>
              <w:tabs>
                <w:tab w:val="center" w:pos="2268"/>
              </w:tabs>
              <w:jc w:val="center"/>
              <w:rPr>
                <w:rFonts w:ascii="Arial" w:hAnsi="Arial" w:cs="Arial"/>
                <w:lang w:val="ru-RU"/>
              </w:rPr>
            </w:pPr>
            <w:r w:rsidRPr="00201162">
              <w:rPr>
                <w:rFonts w:ascii="Arial" w:hAnsi="Arial" w:cs="Arial"/>
                <w:noProof/>
              </w:rPr>
              <w:drawing>
                <wp:inline distT="0" distB="0" distL="0" distR="0">
                  <wp:extent cx="297603" cy="352425"/>
                  <wp:effectExtent l="19050" t="0" r="719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762D88" w:rsidRPr="00201162" w:rsidRDefault="00762D88" w:rsidP="00841688">
            <w:pPr>
              <w:tabs>
                <w:tab w:val="center" w:pos="2268"/>
              </w:tabs>
              <w:jc w:val="both"/>
              <w:rPr>
                <w:rFonts w:ascii="Arial" w:hAnsi="Arial" w:cs="Arial"/>
                <w:lang w:val="ru-RU"/>
              </w:rPr>
            </w:pPr>
          </w:p>
        </w:tc>
        <w:tc>
          <w:tcPr>
            <w:tcW w:w="993" w:type="dxa"/>
          </w:tcPr>
          <w:p w:rsidR="00762D88" w:rsidRPr="00201162" w:rsidRDefault="00762D88" w:rsidP="00841688">
            <w:pPr>
              <w:tabs>
                <w:tab w:val="center" w:pos="2268"/>
              </w:tabs>
              <w:jc w:val="both"/>
              <w:rPr>
                <w:rFonts w:ascii="Arial" w:hAnsi="Arial" w:cs="Arial"/>
                <w:lang w:val="ru-RU"/>
              </w:rPr>
            </w:pPr>
          </w:p>
        </w:tc>
        <w:tc>
          <w:tcPr>
            <w:tcW w:w="2977" w:type="dxa"/>
          </w:tcPr>
          <w:p w:rsidR="00762D88" w:rsidRPr="00201162" w:rsidRDefault="00762D88" w:rsidP="00841688">
            <w:pPr>
              <w:tabs>
                <w:tab w:val="center" w:pos="2268"/>
              </w:tabs>
              <w:jc w:val="both"/>
              <w:rPr>
                <w:rFonts w:ascii="Arial" w:hAnsi="Arial" w:cs="Arial"/>
                <w:lang w:val="ru-RU"/>
              </w:rPr>
            </w:pPr>
          </w:p>
        </w:tc>
      </w:tr>
      <w:tr w:rsidR="00762D88" w:rsidRPr="00201162" w:rsidTr="00841688">
        <w:tc>
          <w:tcPr>
            <w:tcW w:w="6204" w:type="dxa"/>
            <w:hideMark/>
          </w:tcPr>
          <w:p w:rsidR="00762D88" w:rsidRPr="00201162" w:rsidRDefault="00762D88" w:rsidP="00841688">
            <w:pPr>
              <w:tabs>
                <w:tab w:val="center" w:pos="2268"/>
              </w:tabs>
              <w:jc w:val="center"/>
              <w:rPr>
                <w:rFonts w:ascii="Arial" w:hAnsi="Arial" w:cs="Arial"/>
                <w:b/>
                <w:lang w:val="ru-RU"/>
              </w:rPr>
            </w:pP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r w:rsidR="00762D88" w:rsidRPr="00201162" w:rsidTr="00841688">
        <w:tc>
          <w:tcPr>
            <w:tcW w:w="6204" w:type="dxa"/>
            <w:hideMark/>
          </w:tcPr>
          <w:p w:rsidR="00762D88" w:rsidRPr="00201162" w:rsidRDefault="00762D88" w:rsidP="00841688">
            <w:pPr>
              <w:tabs>
                <w:tab w:val="center" w:pos="2268"/>
              </w:tabs>
              <w:jc w:val="center"/>
              <w:rPr>
                <w:rFonts w:ascii="Arial" w:hAnsi="Arial" w:cs="Arial"/>
                <w:b/>
                <w:lang w:val="ru-RU"/>
              </w:rPr>
            </w:pPr>
            <w:r w:rsidRPr="00201162">
              <w:rPr>
                <w:rFonts w:ascii="Arial" w:hAnsi="Arial" w:cs="Arial"/>
                <w:b/>
              </w:rPr>
              <w:t>И З В Р Ш И Т Е Л</w:t>
            </w: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hideMark/>
          </w:tcPr>
          <w:p w:rsidR="00762D88" w:rsidRPr="00201162" w:rsidRDefault="00762D88" w:rsidP="00841688">
            <w:pPr>
              <w:tabs>
                <w:tab w:val="center" w:pos="2268"/>
              </w:tabs>
              <w:jc w:val="center"/>
              <w:rPr>
                <w:rFonts w:ascii="Arial" w:hAnsi="Arial" w:cs="Arial"/>
                <w:b/>
              </w:rPr>
            </w:pPr>
          </w:p>
        </w:tc>
      </w:tr>
      <w:tr w:rsidR="00762D88" w:rsidRPr="00201162" w:rsidTr="00841688">
        <w:tc>
          <w:tcPr>
            <w:tcW w:w="6204" w:type="dxa"/>
            <w:hideMark/>
          </w:tcPr>
          <w:p w:rsidR="00762D88" w:rsidRPr="00201162" w:rsidRDefault="00653B57" w:rsidP="00841688">
            <w:pPr>
              <w:tabs>
                <w:tab w:val="center" w:pos="2268"/>
              </w:tabs>
              <w:jc w:val="center"/>
              <w:rPr>
                <w:rFonts w:ascii="Arial" w:hAnsi="Arial" w:cs="Arial"/>
                <w:b/>
              </w:rPr>
            </w:pPr>
            <w:bookmarkStart w:id="0" w:name="Ime"/>
            <w:bookmarkEnd w:id="0"/>
            <w:r>
              <w:rPr>
                <w:rFonts w:ascii="Arial" w:hAnsi="Arial" w:cs="Arial"/>
                <w:b/>
              </w:rPr>
              <w:t>Билјана Николовска</w:t>
            </w: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r w:rsidR="00762D88" w:rsidRPr="00201162" w:rsidTr="00841688">
        <w:tc>
          <w:tcPr>
            <w:tcW w:w="6204" w:type="dxa"/>
            <w:hideMark/>
          </w:tcPr>
          <w:p w:rsidR="00762D88" w:rsidRDefault="00762D88" w:rsidP="00841688">
            <w:pPr>
              <w:tabs>
                <w:tab w:val="center" w:pos="2268"/>
              </w:tabs>
              <w:jc w:val="center"/>
              <w:rPr>
                <w:rFonts w:ascii="Arial" w:hAnsi="Arial" w:cs="Arial"/>
                <w:b/>
              </w:rPr>
            </w:pPr>
            <w:r w:rsidRPr="00201162">
              <w:rPr>
                <w:rFonts w:ascii="Arial" w:hAnsi="Arial" w:cs="Arial"/>
                <w:b/>
              </w:rPr>
              <w:t>именуван за подрачјето</w:t>
            </w:r>
            <w:r>
              <w:rPr>
                <w:rFonts w:ascii="Arial" w:hAnsi="Arial" w:cs="Arial"/>
                <w:b/>
              </w:rPr>
              <w:t xml:space="preserve"> </w:t>
            </w:r>
          </w:p>
          <w:p w:rsidR="00762D88" w:rsidRPr="00002911" w:rsidRDefault="00762D88" w:rsidP="00841688">
            <w:pPr>
              <w:tabs>
                <w:tab w:val="center" w:pos="2268"/>
              </w:tabs>
              <w:jc w:val="center"/>
              <w:rPr>
                <w:rFonts w:ascii="Arial" w:hAnsi="Arial" w:cs="Arial"/>
                <w:b/>
              </w:rPr>
            </w:pPr>
            <w:r w:rsidRPr="00002911">
              <w:rPr>
                <w:rFonts w:ascii="Arial" w:hAnsi="Arial" w:cs="Arial"/>
                <w:b/>
              </w:rPr>
              <w:t>на Основниот суд</w:t>
            </w: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r w:rsidRPr="00201162">
              <w:rPr>
                <w:rFonts w:ascii="Arial" w:hAnsi="Arial" w:cs="Arial"/>
                <w:b/>
                <w:color w:val="000000"/>
              </w:rPr>
              <w:t xml:space="preserve">             И.бр</w:t>
            </w:r>
            <w:r w:rsidRPr="00201162">
              <w:rPr>
                <w:rFonts w:ascii="Arial" w:hAnsi="Arial" w:cs="Arial"/>
                <w:b/>
              </w:rPr>
              <w:t xml:space="preserve">. </w:t>
            </w:r>
            <w:bookmarkStart w:id="1" w:name="Ibr"/>
            <w:bookmarkEnd w:id="1"/>
            <w:r w:rsidR="00653B57">
              <w:rPr>
                <w:rFonts w:ascii="Arial" w:hAnsi="Arial" w:cs="Arial"/>
                <w:b/>
              </w:rPr>
              <w:t>945/2021</w:t>
            </w:r>
            <w:r w:rsidRPr="00201162">
              <w:rPr>
                <w:rFonts w:ascii="Arial" w:hAnsi="Arial" w:cs="Arial"/>
                <w:b/>
              </w:rPr>
              <w:t xml:space="preserve"> </w:t>
            </w:r>
          </w:p>
        </w:tc>
      </w:tr>
      <w:tr w:rsidR="00762D88" w:rsidRPr="00201162" w:rsidTr="00841688">
        <w:tc>
          <w:tcPr>
            <w:tcW w:w="6204" w:type="dxa"/>
            <w:hideMark/>
          </w:tcPr>
          <w:p w:rsidR="00762D88" w:rsidRPr="00201162" w:rsidRDefault="00653B57" w:rsidP="00841688">
            <w:pPr>
              <w:tabs>
                <w:tab w:val="center" w:pos="2268"/>
              </w:tabs>
              <w:jc w:val="center"/>
              <w:rPr>
                <w:rFonts w:ascii="Arial" w:hAnsi="Arial" w:cs="Arial"/>
                <w:b/>
                <w:lang w:val="ru-RU"/>
              </w:rPr>
            </w:pPr>
            <w:bookmarkStart w:id="2" w:name="OPodracjeSud"/>
            <w:bookmarkEnd w:id="2"/>
            <w:r>
              <w:rPr>
                <w:rFonts w:ascii="Arial" w:hAnsi="Arial" w:cs="Arial"/>
                <w:b/>
                <w:lang w:val="ru-RU"/>
              </w:rPr>
              <w:t>Куманово,Кратово и Крива Паланка</w:t>
            </w: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r w:rsidR="00762D88" w:rsidRPr="00201162" w:rsidTr="00841688">
        <w:tc>
          <w:tcPr>
            <w:tcW w:w="6204" w:type="dxa"/>
            <w:hideMark/>
          </w:tcPr>
          <w:p w:rsidR="00762D88" w:rsidRPr="00201162" w:rsidRDefault="00653B57" w:rsidP="00841688">
            <w:pPr>
              <w:tabs>
                <w:tab w:val="center" w:pos="2268"/>
              </w:tabs>
              <w:jc w:val="center"/>
              <w:rPr>
                <w:rFonts w:ascii="Arial" w:hAnsi="Arial" w:cs="Arial"/>
                <w:b/>
              </w:rPr>
            </w:pPr>
            <w:bookmarkStart w:id="3" w:name="OAdresaIzv"/>
            <w:bookmarkEnd w:id="3"/>
            <w:r>
              <w:rPr>
                <w:rFonts w:ascii="Arial" w:hAnsi="Arial" w:cs="Arial"/>
                <w:b/>
              </w:rPr>
              <w:t>ул.Доне Божинов бр.9-2/13</w:t>
            </w: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r w:rsidR="00762D88" w:rsidRPr="00201162" w:rsidTr="00841688">
        <w:tc>
          <w:tcPr>
            <w:tcW w:w="6204" w:type="dxa"/>
            <w:hideMark/>
          </w:tcPr>
          <w:p w:rsidR="00653B57" w:rsidRDefault="00653B57" w:rsidP="00841688">
            <w:pPr>
              <w:tabs>
                <w:tab w:val="center" w:pos="2268"/>
              </w:tabs>
              <w:jc w:val="center"/>
              <w:rPr>
                <w:rFonts w:ascii="Arial" w:hAnsi="Arial" w:cs="Arial"/>
                <w:b/>
              </w:rPr>
            </w:pPr>
            <w:bookmarkStart w:id="4" w:name="tel"/>
            <w:bookmarkEnd w:id="4"/>
            <w:r>
              <w:rPr>
                <w:rFonts w:ascii="Arial" w:hAnsi="Arial" w:cs="Arial"/>
                <w:b/>
              </w:rPr>
              <w:t>тел. 031/550-722;  izvrshitel.nikolovska@gmail.com</w:t>
            </w:r>
          </w:p>
          <w:p w:rsidR="00762D88" w:rsidRPr="00201162" w:rsidRDefault="00762D88" w:rsidP="00841688">
            <w:pPr>
              <w:tabs>
                <w:tab w:val="center" w:pos="2268"/>
              </w:tabs>
              <w:jc w:val="center"/>
              <w:rPr>
                <w:rFonts w:ascii="Arial" w:hAnsi="Arial" w:cs="Arial"/>
                <w:b/>
              </w:rPr>
            </w:pPr>
          </w:p>
        </w:tc>
        <w:tc>
          <w:tcPr>
            <w:tcW w:w="566" w:type="dxa"/>
          </w:tcPr>
          <w:p w:rsidR="00762D88" w:rsidRPr="00201162" w:rsidRDefault="00762D88" w:rsidP="00841688">
            <w:pPr>
              <w:tabs>
                <w:tab w:val="center" w:pos="2268"/>
              </w:tabs>
              <w:jc w:val="both"/>
              <w:rPr>
                <w:rFonts w:ascii="Arial" w:hAnsi="Arial" w:cs="Arial"/>
                <w:b/>
                <w:lang w:val="ru-RU"/>
              </w:rPr>
            </w:pPr>
          </w:p>
        </w:tc>
        <w:tc>
          <w:tcPr>
            <w:tcW w:w="993" w:type="dxa"/>
          </w:tcPr>
          <w:p w:rsidR="00762D88" w:rsidRPr="00201162" w:rsidRDefault="00762D88" w:rsidP="00841688">
            <w:pPr>
              <w:tabs>
                <w:tab w:val="center" w:pos="2268"/>
              </w:tabs>
              <w:jc w:val="both"/>
              <w:rPr>
                <w:rFonts w:ascii="Arial" w:hAnsi="Arial" w:cs="Arial"/>
                <w:b/>
                <w:lang w:val="ru-RU"/>
              </w:rPr>
            </w:pPr>
          </w:p>
        </w:tc>
        <w:tc>
          <w:tcPr>
            <w:tcW w:w="2977" w:type="dxa"/>
          </w:tcPr>
          <w:p w:rsidR="00762D88" w:rsidRPr="00201162" w:rsidRDefault="00762D88" w:rsidP="00841688">
            <w:pPr>
              <w:tabs>
                <w:tab w:val="center" w:pos="2268"/>
              </w:tabs>
              <w:jc w:val="both"/>
              <w:rPr>
                <w:rFonts w:ascii="Arial" w:hAnsi="Arial" w:cs="Arial"/>
                <w:b/>
                <w:lang w:val="ru-RU"/>
              </w:rPr>
            </w:pPr>
          </w:p>
        </w:tc>
      </w:tr>
    </w:tbl>
    <w:p w:rsidR="00762D88" w:rsidRPr="00201162" w:rsidRDefault="00762D88" w:rsidP="00762D88">
      <w:pPr>
        <w:autoSpaceDE w:val="0"/>
        <w:autoSpaceDN w:val="0"/>
        <w:adjustRightInd w:val="0"/>
        <w:rPr>
          <w:rFonts w:ascii="Arial" w:hAnsi="Arial" w:cs="Arial"/>
          <w:b/>
          <w:bCs/>
          <w:color w:val="000080"/>
          <w:sz w:val="20"/>
          <w:szCs w:val="20"/>
        </w:rPr>
      </w:pPr>
      <w:r w:rsidRPr="00201162">
        <w:rPr>
          <w:rFonts w:ascii="Arial" w:hAnsi="Arial" w:cs="Arial"/>
          <w:b/>
          <w:bCs/>
          <w:color w:val="000080"/>
          <w:sz w:val="20"/>
          <w:szCs w:val="20"/>
        </w:rPr>
        <w:t xml:space="preserve">                             </w:t>
      </w:r>
      <w:r w:rsidRPr="00201162">
        <w:rPr>
          <w:rFonts w:ascii="Arial" w:hAnsi="Arial" w:cs="Arial"/>
          <w:b/>
          <w:bCs/>
          <w:color w:val="000080"/>
          <w:sz w:val="20"/>
          <w:szCs w:val="20"/>
        </w:rPr>
        <w:tab/>
      </w:r>
      <w:r w:rsidRPr="00201162">
        <w:rPr>
          <w:rFonts w:ascii="Arial" w:hAnsi="Arial" w:cs="Arial"/>
          <w:b/>
          <w:bCs/>
          <w:color w:val="000080"/>
          <w:sz w:val="20"/>
          <w:szCs w:val="20"/>
        </w:rPr>
        <w:tab/>
      </w:r>
      <w:r w:rsidRPr="00201162">
        <w:rPr>
          <w:rFonts w:ascii="Arial" w:hAnsi="Arial" w:cs="Arial"/>
          <w:b/>
          <w:bCs/>
          <w:color w:val="000080"/>
          <w:sz w:val="20"/>
          <w:szCs w:val="20"/>
        </w:rPr>
        <w:tab/>
        <w:t xml:space="preserve">   </w:t>
      </w:r>
    </w:p>
    <w:p w:rsidR="00653B57" w:rsidRDefault="00653B57" w:rsidP="00653B57">
      <w:pPr>
        <w:jc w:val="center"/>
        <w:rPr>
          <w:b/>
          <w:sz w:val="28"/>
          <w:szCs w:val="28"/>
          <w:lang w:val="mk-MK"/>
        </w:rPr>
      </w:pPr>
      <w:r>
        <w:rPr>
          <w:b/>
          <w:sz w:val="28"/>
          <w:szCs w:val="28"/>
          <w:lang w:val="mk-MK"/>
        </w:rPr>
        <w:t>ЈАВНА ОБЈАВА</w:t>
      </w:r>
    </w:p>
    <w:p w:rsidR="00653B57" w:rsidRDefault="00653B57" w:rsidP="00653B57">
      <w:pPr>
        <w:jc w:val="center"/>
        <w:rPr>
          <w:b/>
          <w:sz w:val="28"/>
          <w:szCs w:val="28"/>
          <w:lang w:val="mk-MK"/>
        </w:rPr>
      </w:pPr>
      <w:r>
        <w:rPr>
          <w:b/>
          <w:sz w:val="28"/>
          <w:szCs w:val="28"/>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653B57" w:rsidRDefault="00653B57" w:rsidP="00653B57">
      <w:pPr>
        <w:jc w:val="center"/>
        <w:rPr>
          <w:sz w:val="28"/>
          <w:szCs w:val="28"/>
          <w:lang w:val="mk-MK"/>
        </w:rPr>
      </w:pPr>
    </w:p>
    <w:p w:rsidR="00653B57" w:rsidRPr="00653B57" w:rsidRDefault="00653B57" w:rsidP="00653B57">
      <w:pPr>
        <w:ind w:firstLine="720"/>
        <w:jc w:val="both"/>
        <w:rPr>
          <w:b/>
          <w:sz w:val="28"/>
          <w:szCs w:val="28"/>
        </w:rPr>
      </w:pPr>
      <w:r>
        <w:rPr>
          <w:sz w:val="28"/>
          <w:szCs w:val="28"/>
          <w:lang w:val="mk-MK"/>
        </w:rPr>
        <w:t xml:space="preserve">Извршителот </w:t>
      </w:r>
      <w:bookmarkStart w:id="5" w:name="OIzvrsitel"/>
      <w:bookmarkEnd w:id="5"/>
      <w:r>
        <w:rPr>
          <w:sz w:val="28"/>
          <w:szCs w:val="28"/>
          <w:lang w:val="mk-MK"/>
        </w:rPr>
        <w:t>Билјана Николовска</w:t>
      </w:r>
      <w:r>
        <w:rPr>
          <w:sz w:val="28"/>
          <w:szCs w:val="28"/>
          <w:lang w:val="ru-RU"/>
        </w:rPr>
        <w:t xml:space="preserve"> </w:t>
      </w:r>
      <w:r>
        <w:rPr>
          <w:sz w:val="28"/>
          <w:szCs w:val="28"/>
          <w:lang w:val="mk-MK"/>
        </w:rPr>
        <w:t>постапувајќи по предлог на</w:t>
      </w:r>
      <w:r>
        <w:rPr>
          <w:sz w:val="28"/>
          <w:szCs w:val="28"/>
          <w:lang w:val="ru-RU"/>
        </w:rPr>
        <w:t xml:space="preserve"> </w:t>
      </w:r>
      <w:bookmarkStart w:id="6" w:name="Doveritel1"/>
      <w:bookmarkEnd w:id="6"/>
      <w:r>
        <w:rPr>
          <w:sz w:val="28"/>
          <w:szCs w:val="28"/>
          <w:lang w:val="ru-RU"/>
        </w:rPr>
        <w:t xml:space="preserve">доверителот Драган Цветковски од Куманово </w:t>
      </w:r>
      <w:r>
        <w:rPr>
          <w:sz w:val="28"/>
          <w:szCs w:val="28"/>
          <w:lang w:val="mk-MK"/>
        </w:rPr>
        <w:t>против</w:t>
      </w:r>
      <w:r>
        <w:rPr>
          <w:sz w:val="28"/>
          <w:szCs w:val="28"/>
          <w:lang w:val="ru-RU"/>
        </w:rPr>
        <w:t xml:space="preserve"> </w:t>
      </w:r>
      <w:r>
        <w:rPr>
          <w:sz w:val="28"/>
          <w:szCs w:val="28"/>
          <w:lang w:val="mk-MK"/>
        </w:rPr>
        <w:t xml:space="preserve">должникот </w:t>
      </w:r>
      <w:bookmarkStart w:id="7" w:name="Dolznik1"/>
      <w:bookmarkEnd w:id="7"/>
      <w:r>
        <w:rPr>
          <w:sz w:val="28"/>
          <w:szCs w:val="28"/>
          <w:lang w:val="mk-MK"/>
        </w:rPr>
        <w:t>Драган Богдановски</w:t>
      </w:r>
      <w:r>
        <w:rPr>
          <w:sz w:val="28"/>
          <w:szCs w:val="28"/>
          <w:lang w:val="ru-RU"/>
        </w:rPr>
        <w:t xml:space="preserve"> од </w:t>
      </w:r>
      <w:bookmarkStart w:id="8" w:name="DolzGrad1"/>
      <w:bookmarkEnd w:id="8"/>
      <w:r>
        <w:rPr>
          <w:sz w:val="28"/>
          <w:szCs w:val="28"/>
          <w:lang w:val="ru-RU"/>
        </w:rPr>
        <w:t>Куманово со</w:t>
      </w:r>
      <w:r>
        <w:rPr>
          <w:color w:val="FFFFFF" w:themeColor="background1"/>
          <w:sz w:val="28"/>
          <w:szCs w:val="28"/>
          <w:lang w:val="ru-RU"/>
        </w:rPr>
        <w:t xml:space="preserve"> </w:t>
      </w:r>
      <w:bookmarkStart w:id="9" w:name="Oopis_edb"/>
      <w:bookmarkStart w:id="10" w:name="Oedb"/>
      <w:bookmarkStart w:id="11" w:name="opis_sed1_dolz"/>
      <w:bookmarkEnd w:id="9"/>
      <w:bookmarkEnd w:id="10"/>
      <w:bookmarkEnd w:id="11"/>
      <w:r>
        <w:rPr>
          <w:sz w:val="28"/>
          <w:szCs w:val="28"/>
          <w:lang w:val="ru-RU"/>
        </w:rPr>
        <w:t xml:space="preserve">живеалиште на  </w:t>
      </w:r>
      <w:bookmarkStart w:id="12" w:name="adresa1_dolz"/>
      <w:bookmarkEnd w:id="12"/>
      <w:r>
        <w:rPr>
          <w:sz w:val="28"/>
          <w:szCs w:val="28"/>
          <w:lang w:val="ru-RU"/>
        </w:rPr>
        <w:t>ул. 533 бр. 13</w:t>
      </w:r>
      <w:r>
        <w:rPr>
          <w:sz w:val="28"/>
          <w:szCs w:val="28"/>
          <w:lang w:val="mk-MK"/>
        </w:rPr>
        <w:t xml:space="preserve">, заради остварување на парично побарување, </w:t>
      </w:r>
      <w:r>
        <w:rPr>
          <w:b/>
          <w:sz w:val="28"/>
          <w:szCs w:val="28"/>
          <w:lang w:val="mk-MK"/>
        </w:rPr>
        <w:t xml:space="preserve">на ден </w:t>
      </w:r>
      <w:r>
        <w:rPr>
          <w:b/>
          <w:sz w:val="28"/>
          <w:szCs w:val="28"/>
        </w:rPr>
        <w:t>25</w:t>
      </w:r>
      <w:r>
        <w:rPr>
          <w:b/>
          <w:sz w:val="28"/>
          <w:szCs w:val="28"/>
          <w:lang w:val="mk-MK"/>
        </w:rPr>
        <w:t>.</w:t>
      </w:r>
      <w:r>
        <w:rPr>
          <w:b/>
          <w:sz w:val="28"/>
          <w:szCs w:val="28"/>
        </w:rPr>
        <w:t>10</w:t>
      </w:r>
      <w:r>
        <w:rPr>
          <w:b/>
          <w:sz w:val="28"/>
          <w:szCs w:val="28"/>
          <w:lang w:val="mk-MK"/>
        </w:rPr>
        <w:t>.202</w:t>
      </w:r>
      <w:r>
        <w:rPr>
          <w:b/>
          <w:sz w:val="28"/>
          <w:szCs w:val="28"/>
        </w:rPr>
        <w:t>4</w:t>
      </w:r>
      <w:r>
        <w:rPr>
          <w:b/>
          <w:sz w:val="28"/>
          <w:szCs w:val="28"/>
          <w:lang w:val="mk-MK"/>
        </w:rPr>
        <w:t xml:space="preserve">  година </w:t>
      </w:r>
      <w:r>
        <w:rPr>
          <w:sz w:val="28"/>
          <w:szCs w:val="28"/>
          <w:lang w:val="mk-MK"/>
        </w:rPr>
        <w:t xml:space="preserve">ги </w:t>
      </w:r>
    </w:p>
    <w:p w:rsidR="00653B57" w:rsidRDefault="00653B57" w:rsidP="00653B57">
      <w:pPr>
        <w:rPr>
          <w:sz w:val="28"/>
          <w:szCs w:val="28"/>
          <w:lang w:val="mk-MK"/>
        </w:rPr>
      </w:pPr>
    </w:p>
    <w:p w:rsidR="00653B57" w:rsidRDefault="00653B57" w:rsidP="00653B57">
      <w:pPr>
        <w:jc w:val="center"/>
        <w:rPr>
          <w:rFonts w:ascii="Arial" w:hAnsi="Arial" w:cs="Arial"/>
          <w:b/>
        </w:rPr>
      </w:pPr>
      <w:r>
        <w:rPr>
          <w:rFonts w:ascii="Arial" w:hAnsi="Arial" w:cs="Arial"/>
          <w:b/>
          <w:lang w:val="mk-MK"/>
        </w:rPr>
        <w:t>ПОВИКУВА</w:t>
      </w:r>
    </w:p>
    <w:p w:rsidR="00653B57" w:rsidRDefault="00653B57" w:rsidP="00653B57">
      <w:pPr>
        <w:jc w:val="center"/>
        <w:rPr>
          <w:rFonts w:ascii="Arial" w:hAnsi="Arial" w:cs="Arial"/>
          <w:b/>
        </w:rPr>
      </w:pPr>
    </w:p>
    <w:p w:rsidR="00653B57" w:rsidRDefault="00653B57" w:rsidP="00653B57">
      <w:pPr>
        <w:jc w:val="both"/>
        <w:rPr>
          <w:rFonts w:ascii="Arial" w:hAnsi="Arial" w:cs="Arial"/>
          <w:lang w:val="mk-MK"/>
        </w:rPr>
      </w:pPr>
      <w:r>
        <w:rPr>
          <w:rFonts w:ascii="Arial" w:hAnsi="Arial" w:cs="Arial"/>
          <w:lang w:val="mk-MK"/>
        </w:rPr>
        <w:t xml:space="preserve">Сосопствениците на ИЛ бр.1670 за КО Младо Нагоричане, законски наследници на сосопствениците  како и соседите и други лица со право на првенствено купување    чие земјиште граничи со недвижноста што се продава, а која лежи на : КП </w:t>
      </w:r>
      <w:r>
        <w:rPr>
          <w:rFonts w:ascii="Arial" w:hAnsi="Arial" w:cs="Arial"/>
        </w:rPr>
        <w:t xml:space="preserve">7862 </w:t>
      </w:r>
      <w:r>
        <w:rPr>
          <w:rFonts w:ascii="Arial" w:hAnsi="Arial" w:cs="Arial"/>
          <w:lang w:val="mk-MK"/>
        </w:rPr>
        <w:t xml:space="preserve"> запишана во ИЛ бр.1670 за КО Младо Нагоричане,  како и соседите и други лица со право на првенствено купување чие земјиште граничи со недвижноста што се продава, а која лежи на: КП 7863/1, КП 7800, КП 7861/1 запишани во ИЛ.626 за КО Младо Нагоричане заради доставување на Заклучок за трета усна јавна продажба врз основа на членовите 179 став 1, 181 став 1 и 182 став 1 од ЗИ заведено со  И.бр.945/21  од 22.10.2024 година    ВО РОК ОД 1 (ЕДЕН ) ДЕН, сметано од денот на објавување на ова јавно повикување во јавното гласило.</w:t>
      </w:r>
    </w:p>
    <w:p w:rsidR="00653B57" w:rsidRDefault="00653B57" w:rsidP="00653B57">
      <w:pPr>
        <w:ind w:firstLine="720"/>
        <w:jc w:val="both"/>
        <w:rPr>
          <w:rFonts w:ascii="Arial" w:hAnsi="Arial" w:cs="Arial"/>
          <w:lang w:val="mk-MK"/>
        </w:rPr>
      </w:pPr>
      <w:r>
        <w:rPr>
          <w:rFonts w:ascii="Arial" w:hAnsi="Arial" w:cs="Arial"/>
          <w:lang w:val="mk-MK"/>
        </w:rPr>
        <w:t xml:space="preserve">СЕ ПРЕДУПРЕДУВААТ горепосочените лица  кои се сосопственици или се законски наследници на овие лица или лица   чие  земјиште граничи со земјиштето што се продава, дека ваквиот начин на доставување се смета за уредна достава и дека негативните последици кои можат да настанат ќе ги сноси самата странка (должникот ) .  </w:t>
      </w:r>
    </w:p>
    <w:p w:rsidR="00653B57" w:rsidRDefault="00653B57" w:rsidP="00653B57">
      <w:pPr>
        <w:jc w:val="both"/>
        <w:rPr>
          <w:rFonts w:ascii="Arial" w:hAnsi="Arial" w:cs="Arial"/>
          <w:lang w:val="mk-MK"/>
        </w:rPr>
      </w:pPr>
      <w:r>
        <w:rPr>
          <w:rFonts w:ascii="Arial" w:hAnsi="Arial" w:cs="Arial"/>
          <w:lang w:val="mk-MK"/>
        </w:rPr>
        <w:tab/>
      </w:r>
      <w:r>
        <w:rPr>
          <w:rFonts w:ascii="Arial" w:hAnsi="Arial" w:cs="Arial"/>
        </w:rPr>
        <w:t>Оваа објава се објавува еднократно во дневен весник Нова Македонија и на веб страната на Комора на Извршители на Република Македонија .</w:t>
      </w:r>
    </w:p>
    <w:p w:rsidR="00653B57" w:rsidRDefault="00653B57" w:rsidP="00653B57"/>
    <w:p w:rsidR="00762D88" w:rsidRPr="00C57BCB" w:rsidRDefault="00762D88" w:rsidP="00762D88">
      <w:pPr>
        <w:rPr>
          <w:lang w:val="mk-MK"/>
        </w:rPr>
      </w:pPr>
    </w:p>
    <w:sectPr w:rsidR="00762D88" w:rsidRPr="00C57BCB"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E1E" w:rsidRDefault="00FF6E1E" w:rsidP="00653B57">
      <w:r>
        <w:separator/>
      </w:r>
    </w:p>
  </w:endnote>
  <w:endnote w:type="continuationSeparator" w:id="1">
    <w:p w:rsidR="00FF6E1E" w:rsidRDefault="00FF6E1E" w:rsidP="00653B5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57" w:rsidRPr="00653B57" w:rsidRDefault="00653B57" w:rsidP="00653B57">
    <w:pPr>
      <w:pStyle w:val="Footer"/>
      <w:rPr>
        <w:rFonts w:ascii="Arial" w:hAnsi="Arial" w:cs="Arial"/>
        <w:sz w:val="14"/>
      </w:rPr>
    </w:pPr>
    <w:r>
      <w:rPr>
        <w:rFonts w:ascii="Arial" w:hAnsi="Arial" w:cs="Arial"/>
        <w:sz w:val="14"/>
      </w:rPr>
      <w:t xml:space="preserve">                                                                                                                                                                                                                                                   </w:t>
    </w:r>
    <w:r w:rsidR="003610B3">
      <w:rPr>
        <w:rFonts w:ascii="Arial" w:hAnsi="Arial" w:cs="Arial"/>
        <w:sz w:val="14"/>
      </w:rPr>
      <w:fldChar w:fldCharType="begin"/>
    </w:r>
    <w:r>
      <w:rPr>
        <w:rFonts w:ascii="Arial" w:hAnsi="Arial" w:cs="Arial"/>
        <w:sz w:val="14"/>
      </w:rPr>
      <w:instrText xml:space="preserve"> PAGE  \* MERGEFORMAT </w:instrText>
    </w:r>
    <w:r w:rsidR="003610B3">
      <w:rPr>
        <w:rFonts w:ascii="Arial" w:hAnsi="Arial" w:cs="Arial"/>
        <w:sz w:val="14"/>
      </w:rPr>
      <w:fldChar w:fldCharType="separate"/>
    </w:r>
    <w:r w:rsidR="00C57BCB">
      <w:rPr>
        <w:rFonts w:ascii="Arial" w:hAnsi="Arial" w:cs="Arial"/>
        <w:noProof/>
        <w:sz w:val="14"/>
      </w:rPr>
      <w:t>1</w:t>
    </w:r>
    <w:r w:rsidR="003610B3">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E1E" w:rsidRDefault="00FF6E1E" w:rsidP="00653B57">
      <w:r>
        <w:separator/>
      </w:r>
    </w:p>
  </w:footnote>
  <w:footnote w:type="continuationSeparator" w:id="1">
    <w:p w:rsidR="00FF6E1E" w:rsidRDefault="00FF6E1E" w:rsidP="00653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3B5F6CEA"/>
    <w:multiLevelType w:val="hybridMultilevel"/>
    <w:tmpl w:val="6B2C08DE"/>
    <w:lvl w:ilvl="0" w:tplc="CE88E666">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F2016"/>
    <w:rsid w:val="00017F20"/>
    <w:rsid w:val="00035E25"/>
    <w:rsid w:val="000525F9"/>
    <w:rsid w:val="000814A5"/>
    <w:rsid w:val="000A7B40"/>
    <w:rsid w:val="000A7E37"/>
    <w:rsid w:val="000B5ECA"/>
    <w:rsid w:val="000E2957"/>
    <w:rsid w:val="000F2016"/>
    <w:rsid w:val="0011698B"/>
    <w:rsid w:val="001274F9"/>
    <w:rsid w:val="00174DBE"/>
    <w:rsid w:val="00176EE6"/>
    <w:rsid w:val="0018614D"/>
    <w:rsid w:val="001D4FFC"/>
    <w:rsid w:val="001E07A3"/>
    <w:rsid w:val="002114B2"/>
    <w:rsid w:val="002F720E"/>
    <w:rsid w:val="00335C10"/>
    <w:rsid w:val="00354906"/>
    <w:rsid w:val="003610B3"/>
    <w:rsid w:val="00366064"/>
    <w:rsid w:val="00371866"/>
    <w:rsid w:val="003C78E4"/>
    <w:rsid w:val="003E614F"/>
    <w:rsid w:val="00414151"/>
    <w:rsid w:val="00414DF1"/>
    <w:rsid w:val="00463286"/>
    <w:rsid w:val="004826C2"/>
    <w:rsid w:val="00486BE6"/>
    <w:rsid w:val="00495419"/>
    <w:rsid w:val="004A66D9"/>
    <w:rsid w:val="004D30B1"/>
    <w:rsid w:val="004E5FA6"/>
    <w:rsid w:val="004F5896"/>
    <w:rsid w:val="00517BB7"/>
    <w:rsid w:val="005A04AE"/>
    <w:rsid w:val="005E2D64"/>
    <w:rsid w:val="006476A7"/>
    <w:rsid w:val="00653B57"/>
    <w:rsid w:val="00690E76"/>
    <w:rsid w:val="006919DF"/>
    <w:rsid w:val="006C64EF"/>
    <w:rsid w:val="006E3F61"/>
    <w:rsid w:val="00726846"/>
    <w:rsid w:val="00733CDB"/>
    <w:rsid w:val="00762D88"/>
    <w:rsid w:val="00786EA9"/>
    <w:rsid w:val="007940D4"/>
    <w:rsid w:val="007C342C"/>
    <w:rsid w:val="007C6972"/>
    <w:rsid w:val="0082675B"/>
    <w:rsid w:val="00843BCD"/>
    <w:rsid w:val="008A207C"/>
    <w:rsid w:val="008B1B56"/>
    <w:rsid w:val="008F08F4"/>
    <w:rsid w:val="00933F6F"/>
    <w:rsid w:val="00945EAD"/>
    <w:rsid w:val="00984BC5"/>
    <w:rsid w:val="00986E37"/>
    <w:rsid w:val="00995233"/>
    <w:rsid w:val="009A7AFD"/>
    <w:rsid w:val="009D5B3F"/>
    <w:rsid w:val="009E53F1"/>
    <w:rsid w:val="00A17A1A"/>
    <w:rsid w:val="00A23611"/>
    <w:rsid w:val="00A47A8A"/>
    <w:rsid w:val="00A56C1C"/>
    <w:rsid w:val="00A643CE"/>
    <w:rsid w:val="00B06669"/>
    <w:rsid w:val="00B27EFE"/>
    <w:rsid w:val="00B53867"/>
    <w:rsid w:val="00B725F0"/>
    <w:rsid w:val="00BE30BE"/>
    <w:rsid w:val="00BF30A4"/>
    <w:rsid w:val="00C07992"/>
    <w:rsid w:val="00C51DEB"/>
    <w:rsid w:val="00C57BCB"/>
    <w:rsid w:val="00D13CFC"/>
    <w:rsid w:val="00D73727"/>
    <w:rsid w:val="00DD7AAB"/>
    <w:rsid w:val="00E22D4F"/>
    <w:rsid w:val="00E270D6"/>
    <w:rsid w:val="00E365E7"/>
    <w:rsid w:val="00E571FA"/>
    <w:rsid w:val="00E974BB"/>
    <w:rsid w:val="00EC0511"/>
    <w:rsid w:val="00EF3459"/>
    <w:rsid w:val="00F1418F"/>
    <w:rsid w:val="00F54428"/>
    <w:rsid w:val="00F5750E"/>
    <w:rsid w:val="00FC1CC4"/>
    <w:rsid w:val="00FF1C86"/>
    <w:rsid w:val="00FF6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BodyText">
    <w:name w:val="Body Text"/>
    <w:basedOn w:val="Normal"/>
    <w:link w:val="BodyTextChar"/>
    <w:rsid w:val="00762D88"/>
    <w:pPr>
      <w:jc w:val="both"/>
    </w:pPr>
    <w:rPr>
      <w:rFonts w:ascii="MAC C Times" w:hAnsi="MAC C Times"/>
    </w:rPr>
  </w:style>
  <w:style w:type="character" w:customStyle="1" w:styleId="BodyTextChar">
    <w:name w:val="Body Text Char"/>
    <w:basedOn w:val="DefaultParagraphFont"/>
    <w:link w:val="BodyText"/>
    <w:rsid w:val="00762D88"/>
    <w:rPr>
      <w:rFonts w:ascii="MAC C Times" w:hAnsi="MAC C Times"/>
      <w:sz w:val="24"/>
      <w:szCs w:val="24"/>
      <w:lang w:val="en-US" w:eastAsia="en-US"/>
    </w:rPr>
  </w:style>
  <w:style w:type="paragraph" w:styleId="Header">
    <w:name w:val="header"/>
    <w:basedOn w:val="Normal"/>
    <w:link w:val="HeaderChar"/>
    <w:rsid w:val="00653B57"/>
    <w:pPr>
      <w:tabs>
        <w:tab w:val="center" w:pos="4680"/>
        <w:tab w:val="right" w:pos="9360"/>
      </w:tabs>
    </w:pPr>
  </w:style>
  <w:style w:type="character" w:customStyle="1" w:styleId="HeaderChar">
    <w:name w:val="Header Char"/>
    <w:basedOn w:val="DefaultParagraphFont"/>
    <w:link w:val="Header"/>
    <w:rsid w:val="00653B57"/>
    <w:rPr>
      <w:sz w:val="24"/>
      <w:szCs w:val="24"/>
      <w:lang w:val="en-US" w:eastAsia="en-US"/>
    </w:rPr>
  </w:style>
  <w:style w:type="paragraph" w:styleId="Footer">
    <w:name w:val="footer"/>
    <w:basedOn w:val="Normal"/>
    <w:link w:val="FooterChar"/>
    <w:rsid w:val="00653B57"/>
    <w:pPr>
      <w:tabs>
        <w:tab w:val="center" w:pos="4680"/>
        <w:tab w:val="right" w:pos="9360"/>
      </w:tabs>
    </w:pPr>
  </w:style>
  <w:style w:type="character" w:customStyle="1" w:styleId="FooterChar">
    <w:name w:val="Footer Char"/>
    <w:basedOn w:val="DefaultParagraphFont"/>
    <w:link w:val="Footer"/>
    <w:rsid w:val="00653B57"/>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157339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User</cp:lastModifiedBy>
  <cp:revision>5</cp:revision>
  <cp:lastPrinted>2008-01-18T11:23:00Z</cp:lastPrinted>
  <dcterms:created xsi:type="dcterms:W3CDTF">2024-10-25T07:27:00Z</dcterms:created>
  <dcterms:modified xsi:type="dcterms:W3CDTF">2024-10-28T08:32:00Z</dcterms:modified>
</cp:coreProperties>
</file>