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A7085D" w:rsidTr="00A7085D">
        <w:tc>
          <w:tcPr>
            <w:tcW w:w="6008" w:type="dxa"/>
            <w:hideMark/>
          </w:tcPr>
          <w:p w:rsidR="00A7085D" w:rsidRPr="00A7085D" w:rsidRDefault="00D6514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58140" cy="42418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9A611E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 w:rsidR="00A7085D">
              <w:rPr>
                <w:rFonts w:ascii="Arial" w:hAnsi="Arial" w:cs="Arial"/>
                <w:b/>
                <w:lang w:val="en-US"/>
              </w:rPr>
              <w:t>2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Default="00120A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20A99">
              <w:rPr>
                <w:rFonts w:ascii="Arial" w:hAnsi="Arial" w:cs="Arial"/>
                <w:b/>
                <w:lang w:val="ru-RU"/>
              </w:rPr>
              <w:t>Благој Бањански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120A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20A99">
              <w:rPr>
                <w:rFonts w:ascii="Arial" w:hAnsi="Arial" w:cs="Arial"/>
                <w:b/>
                <w:lang w:val="ru-RU"/>
              </w:rPr>
              <w:t>Основните судови Неготино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9A611E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          </w:t>
            </w:r>
            <w:r w:rsidR="00A7085D"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120A99" w:rsidRPr="00120A99">
              <w:rPr>
                <w:rFonts w:ascii="Arial" w:hAnsi="Arial" w:cs="Arial"/>
                <w:b/>
                <w:lang w:val="ru-RU"/>
              </w:rPr>
              <w:t>1213/22</w:t>
            </w:r>
          </w:p>
        </w:tc>
      </w:tr>
      <w:tr w:rsidR="00A7085D" w:rsidTr="00A7085D">
        <w:tc>
          <w:tcPr>
            <w:tcW w:w="6008" w:type="dxa"/>
            <w:hideMark/>
          </w:tcPr>
          <w:p w:rsidR="00A7085D" w:rsidRDefault="00120A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20A99">
              <w:rPr>
                <w:rFonts w:ascii="Arial" w:hAnsi="Arial" w:cs="Arial"/>
                <w:b/>
                <w:lang w:val="ru-RU"/>
              </w:rPr>
              <w:t>Велес,Гевгелија и Кавадарци</w:t>
            </w:r>
            <w:r>
              <w:t>.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120A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20A99">
              <w:rPr>
                <w:rFonts w:ascii="Arial" w:hAnsi="Arial" w:cs="Arial"/>
                <w:b/>
                <w:lang w:val="ru-RU"/>
              </w:rPr>
              <w:t>ул. Фемо Кулаков бр.15/1-1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Default="00120A9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20A99">
              <w:rPr>
                <w:rFonts w:ascii="Arial" w:hAnsi="Arial" w:cs="Arial"/>
                <w:b/>
                <w:lang w:val="ru-RU"/>
              </w:rPr>
              <w:t xml:space="preserve">тел. 043 370-111 </w:t>
            </w:r>
            <w:r w:rsidRPr="004B13A3">
              <w:rPr>
                <w:rFonts w:ascii="Times New Roman" w:hAnsi="Times New Roman"/>
                <w:sz w:val="22"/>
                <w:szCs w:val="22"/>
                <w:lang w:val="ru-RU"/>
              </w:rPr>
              <w:t>izvrsitel</w:t>
            </w:r>
            <w:r w:rsidRPr="004B13A3">
              <w:rPr>
                <w:rFonts w:ascii="Times New Roman" w:hAnsi="Times New Roman"/>
                <w:sz w:val="22"/>
                <w:szCs w:val="22"/>
              </w:rPr>
              <w:t>.banjanski@yahoo.com</w:t>
            </w:r>
          </w:p>
        </w:tc>
        <w:tc>
          <w:tcPr>
            <w:tcW w:w="549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:rsidTr="00A7085D">
        <w:tc>
          <w:tcPr>
            <w:tcW w:w="6008" w:type="dxa"/>
            <w:hideMark/>
          </w:tcPr>
          <w:p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6F5B02" w:rsidRPr="001A0101" w:rsidRDefault="004B13A3" w:rsidP="007645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Cs/>
          <w:color w:val="000000"/>
          <w:lang w:val="mk-MK" w:eastAsia="mk-MK"/>
        </w:rPr>
        <w:t>Благој Бањански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Неготино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>
        <w:rPr>
          <w:rFonts w:ascii="Arial" w:hAnsi="Arial" w:cs="Arial"/>
          <w:b/>
          <w:lang w:val="mk-MK"/>
        </w:rPr>
        <w:t xml:space="preserve">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Универзална Инвестициона Банка АД Скопје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ул.,,Максим Горки,, бр.6</w:t>
      </w:r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преку полномошник адвокат М-р Петар Трајковски од Скопје,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ОДУ.66/16 од 02.03.2016 година на Нотар Нада Причкова, ОДУ бр.150/19 од 28.06.2019 година на Нотар Нада Прочкова од Гевгелија, ОДУ.Бр.151/19 од 28.06.2019 година на Нотар Нада Прочкова од Гевгелија, ОДУ бр.152/19 од 28.06.2019 година на Нотар Нада Прочкова од Гевгелија, ОДУ.бр.144/21 од 02.09.2021 година на Нотар Нада Прочкова од Гевгелија, ОДУ бр.155/21 од 30.08.2021 година на Нотар Нада Прочкова од Гевгелија,</w:t>
      </w:r>
      <w:r>
        <w:rPr>
          <w:rFonts w:ascii="Arial" w:hAnsi="Arial" w:cs="Arial"/>
          <w:lang w:val="mk-MK"/>
        </w:rPr>
        <w:t xml:space="preserve">  против  </w:t>
      </w:r>
      <w:r>
        <w:rPr>
          <w:rFonts w:ascii="Arial" w:hAnsi="Arial" w:cs="Arial"/>
          <w:b/>
          <w:u w:val="single"/>
          <w:lang w:val="mk-MK"/>
        </w:rPr>
        <w:t>заложен должник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Cs/>
          <w:color w:val="000000"/>
          <w:lang w:val="mk-MK" w:eastAsia="mk-MK"/>
        </w:rPr>
        <w:t>Друштво за трговија и услуги ДИБОНАН ДООЕЛ Гевгелија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Гевгелија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 xml:space="preserve">ул. Гевгелиски Партизански одред бр.23,  </w:t>
      </w:r>
      <w:r>
        <w:rPr>
          <w:rFonts w:ascii="Arial" w:hAnsi="Arial" w:cs="Arial"/>
          <w:b/>
          <w:color w:val="000000"/>
          <w:u w:val="single"/>
          <w:lang w:val="mk-MK" w:eastAsia="mk-MK"/>
        </w:rPr>
        <w:t>должникот</w:t>
      </w:r>
      <w:r>
        <w:rPr>
          <w:rFonts w:ascii="Arial" w:hAnsi="Arial" w:cs="Arial"/>
          <w:color w:val="000000"/>
          <w:lang w:val="mk-MK" w:eastAsia="mk-MK"/>
        </w:rPr>
        <w:t xml:space="preserve"> Друштво за производство на пекарски и кондиторски производи БЕКАРТ ДООЕЛ Гевгелија со седиште на ул.Деко Ковачев бр.162в,</w:t>
      </w:r>
      <w:r>
        <w:rPr>
          <w:rFonts w:ascii="Arial" w:hAnsi="Arial" w:cs="Arial"/>
          <w:color w:val="000000"/>
          <w:lang w:eastAsia="mk-MK"/>
        </w:rPr>
        <w:t xml:space="preserve"> </w:t>
      </w:r>
      <w:r>
        <w:rPr>
          <w:rFonts w:ascii="Arial" w:hAnsi="Arial" w:cs="Arial"/>
          <w:b/>
          <w:color w:val="000000"/>
          <w:u w:val="single"/>
          <w:lang w:val="mk-MK" w:eastAsia="mk-MK"/>
        </w:rPr>
        <w:t>должникот</w:t>
      </w:r>
      <w:r>
        <w:rPr>
          <w:rFonts w:ascii="Arial" w:hAnsi="Arial" w:cs="Arial"/>
          <w:color w:val="000000"/>
          <w:lang w:val="mk-MK" w:eastAsia="mk-MK"/>
        </w:rPr>
        <w:t xml:space="preserve"> Тијана Проданова од Гевгелија со живеалиште на ул.Христо Узинов бр.18, </w:t>
      </w:r>
      <w:r>
        <w:rPr>
          <w:rFonts w:ascii="Arial" w:hAnsi="Arial" w:cs="Arial"/>
          <w:b/>
          <w:color w:val="000000"/>
          <w:lang w:val="mk-MK" w:eastAsia="mk-MK"/>
        </w:rPr>
        <w:t xml:space="preserve"> </w:t>
      </w:r>
      <w:r>
        <w:rPr>
          <w:rFonts w:ascii="Arial" w:hAnsi="Arial" w:cs="Arial"/>
          <w:b/>
          <w:color w:val="000000"/>
          <w:u w:val="single"/>
          <w:lang w:val="mk-MK" w:eastAsia="mk-MK"/>
        </w:rPr>
        <w:t>заложниот должник</w:t>
      </w:r>
      <w:r>
        <w:rPr>
          <w:rFonts w:ascii="Arial" w:hAnsi="Arial" w:cs="Arial"/>
          <w:color w:val="000000"/>
          <w:lang w:val="mk-MK" w:eastAsia="mk-MK"/>
        </w:rPr>
        <w:t xml:space="preserve"> Друштво за инвестиции и градежништво ДАУНТАУН-ИНВЕСТМЕНТ ДОО Гевгелија со седиште на ул.Гевгелиски Партизански Одреди бр.23, </w:t>
      </w:r>
      <w:r>
        <w:rPr>
          <w:rFonts w:ascii="Arial" w:hAnsi="Arial" w:cs="Arial"/>
          <w:b/>
          <w:color w:val="000000"/>
          <w:u w:val="single"/>
          <w:lang w:val="mk-MK" w:eastAsia="mk-MK"/>
        </w:rPr>
        <w:t xml:space="preserve">заложниот должник </w:t>
      </w:r>
      <w:r>
        <w:rPr>
          <w:rFonts w:ascii="Arial" w:hAnsi="Arial" w:cs="Arial"/>
          <w:color w:val="000000"/>
          <w:lang w:val="mk-MK" w:eastAsia="mk-MK"/>
        </w:rPr>
        <w:t>Димитар Проданов од Гевгелија со живеалиште на ул.Христо Узунов бр.18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b/>
          <w:u w:val="single"/>
          <w:lang w:val="mk-MK"/>
        </w:rPr>
        <w:t>заложниот должник</w:t>
      </w:r>
      <w:r>
        <w:rPr>
          <w:rFonts w:ascii="Arial" w:hAnsi="Arial" w:cs="Arial"/>
          <w:lang w:val="mk-MK"/>
        </w:rPr>
        <w:t xml:space="preserve"> Јован Проданов од Гевгелија со живеалиште на ул.Деко Ковачев бр.162в, </w:t>
      </w:r>
      <w:r>
        <w:rPr>
          <w:rFonts w:ascii="Arial" w:hAnsi="Arial" w:cs="Arial"/>
          <w:b/>
          <w:u w:val="single"/>
          <w:lang w:val="mk-MK"/>
        </w:rPr>
        <w:t>заложниот должник</w:t>
      </w:r>
      <w:r>
        <w:rPr>
          <w:rFonts w:ascii="Arial" w:hAnsi="Arial" w:cs="Arial"/>
          <w:lang w:val="mk-MK"/>
        </w:rPr>
        <w:t xml:space="preserve"> Тања Проданова од Гевгелија со живеалиште на ул.Христо Узунов бр.22, 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38.861.764,00 ден.</w:t>
      </w:r>
      <w:r w:rsidR="00307292">
        <w:rPr>
          <w:rFonts w:ascii="Arial" w:hAnsi="Arial" w:cs="Arial"/>
          <w:lang w:val="mk-MK"/>
        </w:rPr>
        <w:t>, на ден 0</w:t>
      </w:r>
      <w:r w:rsidR="00307292"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mk-MK"/>
        </w:rPr>
        <w:t>.0</w:t>
      </w:r>
      <w:r w:rsidR="00A03A89">
        <w:rPr>
          <w:rFonts w:ascii="Arial" w:hAnsi="Arial" w:cs="Arial"/>
          <w:lang w:val="mk-MK"/>
        </w:rPr>
        <w:t>7</w:t>
      </w:r>
      <w:r>
        <w:rPr>
          <w:rFonts w:ascii="Arial" w:hAnsi="Arial" w:cs="Arial"/>
          <w:lang w:val="mk-MK"/>
        </w:rPr>
        <w:t>.2025 година го донесува следниот</w:t>
      </w:r>
      <w:r w:rsidR="006F5B02">
        <w:rPr>
          <w:rFonts w:ascii="Arial" w:hAnsi="Arial" w:cs="Arial"/>
          <w:lang w:val="mk-MK"/>
        </w:rPr>
        <w:t>:</w:t>
      </w:r>
    </w:p>
    <w:p w:rsidR="003F5FA2" w:rsidRPr="009A611E" w:rsidRDefault="003F5FA2">
      <w:pPr>
        <w:rPr>
          <w:rFonts w:ascii="Arial" w:hAnsi="Arial" w:cs="Arial"/>
          <w:lang w:val="mk-MK"/>
        </w:rPr>
      </w:pPr>
    </w:p>
    <w:p w:rsidR="003F5FA2" w:rsidRPr="009A611E" w:rsidRDefault="003F5FA2">
      <w:pPr>
        <w:rPr>
          <w:rFonts w:ascii="Arial" w:hAnsi="Arial" w:cs="Arial"/>
          <w:b/>
          <w:lang w:val="mk-MK"/>
        </w:rPr>
      </w:pPr>
      <w:r w:rsidRPr="009A611E">
        <w:rPr>
          <w:rFonts w:ascii="Arial" w:hAnsi="Arial" w:cs="Arial"/>
          <w:lang w:val="mk-MK"/>
        </w:rPr>
        <w:t xml:space="preserve">              </w:t>
      </w:r>
      <w:r w:rsidRPr="009A611E">
        <w:rPr>
          <w:rFonts w:ascii="Arial" w:hAnsi="Arial" w:cs="Arial"/>
          <w:lang w:val="mk-MK"/>
        </w:rPr>
        <w:tab/>
      </w:r>
      <w:r w:rsidRPr="009A611E">
        <w:rPr>
          <w:rFonts w:ascii="Arial" w:hAnsi="Arial" w:cs="Arial"/>
          <w:lang w:val="mk-MK"/>
        </w:rPr>
        <w:tab/>
      </w:r>
      <w:r w:rsidRPr="009A611E">
        <w:rPr>
          <w:rFonts w:ascii="Arial" w:hAnsi="Arial" w:cs="Arial"/>
          <w:lang w:val="mk-MK"/>
        </w:rPr>
        <w:tab/>
      </w:r>
      <w:r w:rsidRPr="009A611E">
        <w:rPr>
          <w:rFonts w:ascii="Arial" w:hAnsi="Arial" w:cs="Arial"/>
          <w:lang w:val="mk-MK"/>
        </w:rPr>
        <w:tab/>
        <w:t xml:space="preserve">     </w:t>
      </w:r>
      <w:r w:rsidRPr="009A611E"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F5FA2" w:rsidRDefault="009A10C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3F5FA2" w:rsidRDefault="003F5FA2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9A611E" w:rsidRDefault="003F5FA2" w:rsidP="009A611E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lang w:val="mk-MK"/>
        </w:rPr>
        <w:tab/>
      </w:r>
    </w:p>
    <w:p w:rsidR="009A611E" w:rsidRDefault="009A611E" w:rsidP="009A611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u w:val="single"/>
          <w:lang w:val="mk-MK"/>
        </w:rPr>
        <w:t>СЕ ОПРЕДЕЛУВА втора продажба со усно јавно наддавање на следниот подвижен предмет</w:t>
      </w:r>
      <w:r>
        <w:rPr>
          <w:rFonts w:ascii="Arial" w:hAnsi="Arial" w:cs="Arial"/>
          <w:u w:val="single"/>
          <w:lang w:val="mk-MK"/>
        </w:rPr>
        <w:t>:</w:t>
      </w:r>
    </w:p>
    <w:p w:rsidR="00D30521" w:rsidRDefault="00D30521" w:rsidP="003F5FA2">
      <w:pPr>
        <w:rPr>
          <w:rFonts w:ascii="Arial" w:hAnsi="Arial" w:cs="Arial"/>
          <w:lang w:val="mk-MK"/>
        </w:rPr>
      </w:pPr>
    </w:p>
    <w:p w:rsidR="009A611E" w:rsidRDefault="009A611E" w:rsidP="009A611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-Моторно возило, марка </w:t>
      </w:r>
      <w:r>
        <w:rPr>
          <w:rFonts w:ascii="Arial" w:hAnsi="Arial" w:cs="Arial"/>
        </w:rPr>
        <w:t>AUDI</w:t>
      </w:r>
      <w:r>
        <w:rPr>
          <w:rFonts w:ascii="Arial" w:hAnsi="Arial" w:cs="Arial"/>
          <w:lang w:val="mk-MK"/>
        </w:rPr>
        <w:t>, тип 8</w:t>
      </w:r>
      <w:r>
        <w:rPr>
          <w:rFonts w:ascii="Arial" w:hAnsi="Arial" w:cs="Arial"/>
        </w:rPr>
        <w:t xml:space="preserve">P AUDI A3, </w:t>
      </w:r>
      <w:r>
        <w:rPr>
          <w:rFonts w:ascii="Arial" w:hAnsi="Arial" w:cs="Arial"/>
          <w:lang w:val="mk-MK"/>
        </w:rPr>
        <w:t xml:space="preserve">број на шсија </w:t>
      </w:r>
      <w:r>
        <w:rPr>
          <w:rFonts w:ascii="Arial" w:hAnsi="Arial" w:cs="Arial"/>
        </w:rPr>
        <w:t xml:space="preserve">WAUZZZ8P16A078922, </w:t>
      </w:r>
      <w:r>
        <w:rPr>
          <w:rFonts w:ascii="Arial" w:hAnsi="Arial" w:cs="Arial"/>
          <w:lang w:val="mk-MK"/>
        </w:rPr>
        <w:t xml:space="preserve">број на мотор </w:t>
      </w:r>
      <w:r>
        <w:rPr>
          <w:rFonts w:ascii="Arial" w:hAnsi="Arial" w:cs="Arial"/>
        </w:rPr>
        <w:t xml:space="preserve">BKC 834642, </w:t>
      </w:r>
      <w:r>
        <w:rPr>
          <w:rFonts w:ascii="Arial" w:hAnsi="Arial" w:cs="Arial"/>
          <w:lang w:val="mk-MK"/>
        </w:rPr>
        <w:t xml:space="preserve">година на производство 2005, работна зафатнина на моторот во </w:t>
      </w:r>
      <w:r>
        <w:rPr>
          <w:rFonts w:ascii="Arial" w:hAnsi="Arial" w:cs="Arial"/>
        </w:rPr>
        <w:t xml:space="preserve">cm 1896, </w:t>
      </w:r>
      <w:r>
        <w:rPr>
          <w:rFonts w:ascii="Arial" w:hAnsi="Arial" w:cs="Arial"/>
          <w:lang w:val="mk-MK"/>
        </w:rPr>
        <w:t xml:space="preserve">маса на празно возило 1590 </w:t>
      </w:r>
      <w:r>
        <w:rPr>
          <w:rFonts w:ascii="Arial" w:hAnsi="Arial" w:cs="Arial"/>
        </w:rPr>
        <w:t>kg,</w:t>
      </w:r>
      <w:r>
        <w:rPr>
          <w:rFonts w:ascii="Arial" w:hAnsi="Arial" w:cs="Arial"/>
          <w:lang w:val="mk-MK"/>
        </w:rPr>
        <w:t xml:space="preserve"> боја на каросерија </w:t>
      </w:r>
      <w:r>
        <w:rPr>
          <w:rFonts w:ascii="Arial" w:hAnsi="Arial" w:cs="Arial"/>
        </w:rPr>
        <w:t xml:space="preserve">CRNA-20, </w:t>
      </w:r>
      <w:r>
        <w:rPr>
          <w:rFonts w:ascii="Arial" w:hAnsi="Arial" w:cs="Arial"/>
          <w:lang w:val="mk-MK"/>
        </w:rPr>
        <w:t xml:space="preserve">со регистарска ознака </w:t>
      </w:r>
      <w:r>
        <w:rPr>
          <w:rFonts w:ascii="Arial" w:hAnsi="Arial" w:cs="Arial"/>
        </w:rPr>
        <w:t xml:space="preserve">VE-375-VF, </w:t>
      </w:r>
      <w:r>
        <w:rPr>
          <w:rFonts w:ascii="Arial" w:hAnsi="Arial" w:cs="Arial"/>
          <w:lang w:val="mk-MK"/>
        </w:rPr>
        <w:t xml:space="preserve">согласно Сообраќајна дозвола број МК0578799 издадена од МВР Гевгелија, со поминати 421.300 км, </w:t>
      </w:r>
      <w:r>
        <w:rPr>
          <w:rFonts w:ascii="Arial" w:hAnsi="Arial" w:cs="Arial"/>
          <w:b/>
          <w:u w:val="single"/>
          <w:lang w:val="mk-MK"/>
        </w:rPr>
        <w:t>проценета вредност од 215.915,оо денари.</w:t>
      </w:r>
    </w:p>
    <w:p w:rsidR="009A611E" w:rsidRDefault="009A611E" w:rsidP="009A611E">
      <w:pPr>
        <w:pStyle w:val="BodyText"/>
        <w:rPr>
          <w:rFonts w:ascii="Arial" w:hAnsi="Arial" w:cs="Arial"/>
          <w:lang w:val="mk-MK"/>
        </w:rPr>
      </w:pPr>
    </w:p>
    <w:p w:rsidR="009A611E" w:rsidRDefault="009A611E" w:rsidP="009A611E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307292">
        <w:rPr>
          <w:rFonts w:ascii="Arial" w:hAnsi="Arial" w:cs="Arial"/>
          <w:b/>
          <w:u w:val="single"/>
        </w:rPr>
        <w:t>154.500,</w:t>
      </w:r>
      <w:r>
        <w:rPr>
          <w:rFonts w:ascii="Arial" w:hAnsi="Arial" w:cs="Arial"/>
          <w:b/>
          <w:u w:val="single"/>
          <w:lang w:val="mk-MK"/>
        </w:rPr>
        <w:t>оо денари</w:t>
      </w:r>
      <w:r w:rsidR="00A3080A">
        <w:rPr>
          <w:rFonts w:ascii="Arial" w:hAnsi="Arial" w:cs="Arial"/>
          <w:b/>
          <w:u w:val="single"/>
          <w:lang w:val="mk-MK"/>
        </w:rPr>
        <w:t>,</w:t>
      </w:r>
      <w:r>
        <w:rPr>
          <w:rFonts w:ascii="Arial" w:hAnsi="Arial" w:cs="Arial"/>
          <w:b/>
          <w:u w:val="single"/>
          <w:lang w:val="mk-MK"/>
        </w:rPr>
        <w:t xml:space="preserve"> под која </w:t>
      </w:r>
      <w:r w:rsidR="00A3080A">
        <w:rPr>
          <w:rFonts w:ascii="Arial" w:hAnsi="Arial" w:cs="Arial"/>
          <w:b/>
          <w:u w:val="single"/>
          <w:lang w:val="mk-MK"/>
        </w:rPr>
        <w:t>истиот</w:t>
      </w:r>
      <w:r>
        <w:rPr>
          <w:rFonts w:ascii="Arial" w:hAnsi="Arial" w:cs="Arial"/>
          <w:b/>
          <w:u w:val="single"/>
          <w:lang w:val="mk-MK"/>
        </w:rPr>
        <w:t xml:space="preserve"> не може да се продаде на второто усно јавно наддавање.</w:t>
      </w:r>
    </w:p>
    <w:p w:rsidR="009A611E" w:rsidRDefault="009A611E" w:rsidP="009A611E">
      <w:pPr>
        <w:pStyle w:val="BodyText"/>
        <w:ind w:firstLine="360"/>
        <w:rPr>
          <w:rFonts w:ascii="Arial" w:hAnsi="Arial" w:cs="Arial"/>
          <w:b/>
          <w:u w:val="single"/>
          <w:lang w:val="mk-MK"/>
        </w:rPr>
      </w:pPr>
    </w:p>
    <w:p w:rsidR="009A611E" w:rsidRDefault="009A611E" w:rsidP="009A611E">
      <w:pPr>
        <w:pStyle w:val="BodyText"/>
        <w:ind w:firstLine="360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b/>
          <w:u w:val="single"/>
          <w:lang w:val="mk-MK"/>
        </w:rPr>
        <w:t xml:space="preserve">Продажбата ќе се одржи на ден </w:t>
      </w:r>
      <w:r w:rsidR="00307292">
        <w:rPr>
          <w:rFonts w:ascii="Arial" w:hAnsi="Arial" w:cs="Arial"/>
          <w:b/>
          <w:u w:val="single"/>
        </w:rPr>
        <w:t>22.</w:t>
      </w:r>
      <w:r>
        <w:rPr>
          <w:rFonts w:ascii="Arial" w:hAnsi="Arial" w:cs="Arial"/>
          <w:b/>
          <w:u w:val="single"/>
          <w:lang w:val="mk-MK"/>
        </w:rPr>
        <w:t xml:space="preserve">07.2025 година во 11:00 часот  во просториите на </w:t>
      </w:r>
      <w:r>
        <w:rPr>
          <w:rFonts w:ascii="Arial" w:hAnsi="Arial" w:cs="Arial"/>
          <w:b/>
          <w:u w:val="single"/>
        </w:rPr>
        <w:t>Извршител Благој Бањански од Неготино</w:t>
      </w:r>
      <w:r>
        <w:rPr>
          <w:rFonts w:ascii="Arial" w:hAnsi="Arial" w:cs="Arial"/>
          <w:b/>
          <w:u w:val="single"/>
          <w:lang w:val="mk-MK"/>
        </w:rPr>
        <w:t>.</w:t>
      </w:r>
    </w:p>
    <w:p w:rsidR="009A611E" w:rsidRDefault="009A611E">
      <w:pPr>
        <w:rPr>
          <w:rFonts w:ascii="Arial" w:hAnsi="Arial" w:cs="Arial"/>
          <w:lang w:val="mk-MK"/>
        </w:rPr>
      </w:pPr>
    </w:p>
    <w:p w:rsidR="009A611E" w:rsidRDefault="009A611E" w:rsidP="009A611E">
      <w:pPr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</w:rPr>
        <w:t xml:space="preserve"> „НОВА МАКЕДОНИЈА“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>и електронски на веб страницата на Комората.</w:t>
      </w:r>
    </w:p>
    <w:p w:rsidR="009A611E" w:rsidRDefault="009A611E" w:rsidP="009A611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предметот, најкасно до </w:t>
      </w:r>
      <w:r w:rsidR="00307292">
        <w:rPr>
          <w:rFonts w:ascii="Arial" w:hAnsi="Arial" w:cs="Arial"/>
          <w:lang w:val="en-US"/>
        </w:rPr>
        <w:t>21</w:t>
      </w:r>
      <w:r>
        <w:rPr>
          <w:rFonts w:ascii="Arial" w:hAnsi="Arial" w:cs="Arial"/>
          <w:lang w:val="mk-MK"/>
        </w:rPr>
        <w:t>.07.2025 година.</w:t>
      </w:r>
    </w:p>
    <w:p w:rsidR="009A611E" w:rsidRDefault="009A611E" w:rsidP="009A611E">
      <w:pPr>
        <w:ind w:firstLine="720"/>
        <w:jc w:val="both"/>
        <w:rPr>
          <w:rFonts w:ascii="Arial" w:hAnsi="Arial" w:cs="Arial"/>
          <w:lang w:val="mk-MK"/>
        </w:rPr>
      </w:pPr>
    </w:p>
    <w:p w:rsidR="009A611E" w:rsidRDefault="009A611E" w:rsidP="009A611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u w:val="single"/>
          <w:lang w:val="mk-MK"/>
        </w:rPr>
        <w:t>бр.240320002215396</w:t>
      </w:r>
      <w:r>
        <w:rPr>
          <w:rFonts w:ascii="Arial" w:hAnsi="Arial" w:cs="Arial"/>
          <w:b/>
          <w:lang w:val="mk-MK"/>
        </w:rPr>
        <w:t xml:space="preserve"> која се води кај УНИ Банка АД Скопје и даночен број 5019011501177.</w:t>
      </w:r>
    </w:p>
    <w:p w:rsidR="009A611E" w:rsidRDefault="009A611E" w:rsidP="009A611E">
      <w:pPr>
        <w:ind w:firstLine="720"/>
        <w:jc w:val="both"/>
        <w:rPr>
          <w:rFonts w:ascii="Arial" w:hAnsi="Arial" w:cs="Arial"/>
          <w:lang w:val="mk-MK"/>
        </w:rPr>
      </w:pPr>
    </w:p>
    <w:p w:rsidR="009A611E" w:rsidRDefault="009A611E" w:rsidP="009A611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</w:p>
    <w:p w:rsidR="009A611E" w:rsidRDefault="009A611E" w:rsidP="009A611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Предметот што е ставен на продажба може да се разгледа </w:t>
      </w:r>
      <w:r>
        <w:rPr>
          <w:rFonts w:ascii="Arial" w:hAnsi="Arial" w:cs="Arial"/>
        </w:rPr>
        <w:t>по претходна најава кај Извршителот.</w:t>
      </w:r>
    </w:p>
    <w:p w:rsidR="009A611E" w:rsidRDefault="009A611E" w:rsidP="009A611E">
      <w:pPr>
        <w:ind w:firstLine="720"/>
        <w:jc w:val="both"/>
        <w:rPr>
          <w:rFonts w:ascii="Arial" w:hAnsi="Arial" w:cs="Arial"/>
          <w:lang w:val="mk-MK"/>
        </w:rPr>
      </w:pPr>
    </w:p>
    <w:p w:rsidR="009A611E" w:rsidRDefault="009A611E" w:rsidP="009A611E">
      <w:pPr>
        <w:jc w:val="both"/>
        <w:rPr>
          <w:rFonts w:ascii="Arial" w:hAnsi="Arial" w:cs="Arial"/>
          <w:lang w:val="mk-MK"/>
        </w:rPr>
      </w:pPr>
      <w:r>
        <w:rPr>
          <w:rFonts w:ascii="Calibri" w:hAnsi="Calibri"/>
          <w:lang w:val="mk-MK"/>
        </w:rPr>
        <w:t xml:space="preserve">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rFonts w:ascii="Calibri" w:hAnsi="Calibri"/>
          <w:lang w:val="mk-MK"/>
        </w:rPr>
        <w:t xml:space="preserve">               </w:t>
      </w:r>
      <w:r>
        <w:rPr>
          <w:lang w:val="mk-MK"/>
        </w:rPr>
        <w:tab/>
        <w:t xml:space="preserve">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0"/>
        <w:gridCol w:w="5231"/>
      </w:tblGrid>
      <w:tr w:rsidR="009A611E" w:rsidTr="009A611E">
        <w:tc>
          <w:tcPr>
            <w:tcW w:w="5377" w:type="dxa"/>
          </w:tcPr>
          <w:p w:rsidR="009A611E" w:rsidRDefault="009A611E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</w:tcPr>
          <w:p w:rsidR="009A611E" w:rsidRDefault="009A611E">
            <w:pPr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eastAsia="mk-MK"/>
              </w:rPr>
              <w:t xml:space="preserve">                     </w:t>
            </w: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Благој Бањански</w:t>
            </w:r>
          </w:p>
          <w:p w:rsidR="009A611E" w:rsidRDefault="009A611E">
            <w:pPr>
              <w:rPr>
                <w:rFonts w:ascii="Arial" w:hAnsi="Arial" w:cs="Arial"/>
                <w:bCs/>
                <w:color w:val="000000"/>
                <w:lang w:val="mk-MK" w:eastAsia="mk-MK"/>
              </w:rPr>
            </w:pPr>
          </w:p>
        </w:tc>
      </w:tr>
    </w:tbl>
    <w:p w:rsidR="009A611E" w:rsidRDefault="009A611E" w:rsidP="009A611E">
      <w:pPr>
        <w:jc w:val="both"/>
        <w:rPr>
          <w:rFonts w:ascii="Calibri" w:hAnsi="Calibri"/>
          <w:lang w:val="mk-MK"/>
        </w:rPr>
      </w:pPr>
      <w:r>
        <w:rPr>
          <w:lang w:val="mk-MK"/>
        </w:rPr>
        <w:t xml:space="preserve">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9A611E" w:rsidRDefault="009A611E" w:rsidP="009A611E">
      <w:pPr>
        <w:jc w:val="both"/>
        <w:rPr>
          <w:rFonts w:ascii="Calibri" w:hAnsi="Calibri"/>
          <w:lang w:val="mk-MK"/>
        </w:rPr>
      </w:pPr>
    </w:p>
    <w:p w:rsidR="009A611E" w:rsidRDefault="009A611E" w:rsidP="009A611E">
      <w:pPr>
        <w:jc w:val="both"/>
        <w:rPr>
          <w:rFonts w:ascii="Calibri" w:hAnsi="Calibri"/>
          <w:lang w:val="mk-MK"/>
        </w:rPr>
      </w:pPr>
    </w:p>
    <w:p w:rsidR="009A611E" w:rsidRDefault="009A611E" w:rsidP="009A611E">
      <w:pPr>
        <w:jc w:val="both"/>
        <w:rPr>
          <w:rFonts w:ascii="Calibri" w:hAnsi="Calibri"/>
          <w:lang w:val="mk-MK"/>
        </w:rPr>
      </w:pPr>
    </w:p>
    <w:p w:rsidR="009A611E" w:rsidRDefault="009A611E" w:rsidP="009A611E">
      <w:pPr>
        <w:jc w:val="both"/>
        <w:rPr>
          <w:rFonts w:ascii="Calibri" w:hAnsi="Calibri"/>
          <w:lang w:val="mk-MK"/>
        </w:rPr>
      </w:pPr>
    </w:p>
    <w:p w:rsidR="009A611E" w:rsidRDefault="009A611E" w:rsidP="009A611E">
      <w:pPr>
        <w:jc w:val="both"/>
        <w:rPr>
          <w:rFonts w:ascii="Calibri" w:hAnsi="Calibri"/>
          <w:lang w:val="mk-MK"/>
        </w:rPr>
      </w:pPr>
      <w:r>
        <w:rPr>
          <w:lang w:val="mk-MK"/>
        </w:rPr>
        <w:tab/>
        <w:t xml:space="preserve">       </w:t>
      </w:r>
    </w:p>
    <w:p w:rsidR="009A611E" w:rsidRDefault="009A611E" w:rsidP="009A611E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Правна поука:</w:t>
      </w:r>
      <w:r>
        <w:rPr>
          <w:rFonts w:ascii="Arial" w:hAnsi="Arial" w:cs="Arial"/>
          <w:sz w:val="20"/>
          <w:szCs w:val="20"/>
          <w:lang w:val="mk-MK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</w:t>
      </w:r>
    </w:p>
    <w:p w:rsidR="009A611E" w:rsidRDefault="009A611E" w:rsidP="009A611E">
      <w:pPr>
        <w:rPr>
          <w:rFonts w:ascii="Arial" w:hAnsi="Arial" w:cs="Arial"/>
          <w:lang w:val="mk-MK"/>
        </w:rPr>
      </w:pPr>
    </w:p>
    <w:p w:rsidR="009A611E" w:rsidRDefault="009A611E" w:rsidP="009A611E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9A611E" w:rsidRDefault="009A611E" w:rsidP="009A611E">
      <w:pPr>
        <w:ind w:firstLine="720"/>
        <w:jc w:val="both"/>
        <w:rPr>
          <w:rFonts w:ascii="Arial" w:hAnsi="Arial" w:cs="Arial"/>
          <w:lang w:val="mk-MK"/>
        </w:rPr>
      </w:pPr>
    </w:p>
    <w:p w:rsidR="009A611E" w:rsidRDefault="009A611E" w:rsidP="009A611E">
      <w:pPr>
        <w:rPr>
          <w:rFonts w:ascii="Arial" w:hAnsi="Arial" w:cs="Arial"/>
          <w:lang w:val="mk-MK"/>
        </w:rPr>
      </w:pPr>
    </w:p>
    <w:p w:rsidR="009A611E" w:rsidRDefault="009A611E" w:rsidP="009A611E">
      <w:pPr>
        <w:ind w:firstLine="720"/>
        <w:jc w:val="both"/>
        <w:rPr>
          <w:rFonts w:ascii="Arial" w:hAnsi="Arial" w:cs="Arial"/>
          <w:lang w:val="mk-MK"/>
        </w:rPr>
      </w:pPr>
    </w:p>
    <w:p w:rsidR="009A611E" w:rsidRDefault="009A611E" w:rsidP="009A611E">
      <w:pPr>
        <w:ind w:firstLine="720"/>
        <w:jc w:val="both"/>
        <w:rPr>
          <w:rFonts w:ascii="Arial" w:hAnsi="Arial" w:cs="Arial"/>
          <w:lang w:val="mk-MK"/>
        </w:rPr>
      </w:pPr>
    </w:p>
    <w:p w:rsidR="009A611E" w:rsidRDefault="009A611E" w:rsidP="009A611E">
      <w:pPr>
        <w:rPr>
          <w:rFonts w:ascii="Arial" w:hAnsi="Arial" w:cs="Arial"/>
          <w:bCs/>
          <w:lang w:val="mk-MK"/>
        </w:rPr>
      </w:pPr>
    </w:p>
    <w:p w:rsidR="009A611E" w:rsidRDefault="009A611E" w:rsidP="009A611E">
      <w:pPr>
        <w:ind w:firstLine="720"/>
        <w:rPr>
          <w:rFonts w:ascii="Arial" w:hAnsi="Arial" w:cs="Arial"/>
          <w:lang w:val="mk-MK"/>
        </w:rPr>
      </w:pPr>
    </w:p>
    <w:p w:rsidR="009A611E" w:rsidRDefault="009A611E" w:rsidP="009A611E">
      <w:pPr>
        <w:ind w:firstLine="720"/>
        <w:rPr>
          <w:rFonts w:ascii="Arial" w:hAnsi="Arial" w:cs="Arial"/>
          <w:lang w:val="mk-MK"/>
        </w:rPr>
      </w:pPr>
    </w:p>
    <w:p w:rsidR="009A611E" w:rsidRDefault="009A611E" w:rsidP="009A611E">
      <w:pPr>
        <w:ind w:firstLine="720"/>
        <w:rPr>
          <w:rFonts w:ascii="Arial" w:hAnsi="Arial" w:cs="Arial"/>
          <w:lang w:val="mk-MK"/>
        </w:rPr>
      </w:pPr>
    </w:p>
    <w:p w:rsidR="009A611E" w:rsidRDefault="009A611E" w:rsidP="009A611E">
      <w:pPr>
        <w:ind w:firstLine="720"/>
        <w:rPr>
          <w:rFonts w:ascii="Arial" w:hAnsi="Arial" w:cs="Arial"/>
          <w:lang w:val="mk-MK"/>
        </w:rPr>
      </w:pPr>
    </w:p>
    <w:p w:rsidR="009A611E" w:rsidRDefault="009A611E">
      <w:pPr>
        <w:rPr>
          <w:rFonts w:ascii="Arial" w:hAnsi="Arial" w:cs="Arial"/>
          <w:lang w:val="mk-MK"/>
        </w:rPr>
      </w:pPr>
    </w:p>
    <w:p w:rsidR="009A611E" w:rsidRDefault="009A611E">
      <w:pPr>
        <w:rPr>
          <w:rFonts w:ascii="Arial" w:hAnsi="Arial" w:cs="Arial"/>
          <w:lang w:val="mk-MK"/>
        </w:rPr>
      </w:pPr>
    </w:p>
    <w:p w:rsidR="009A611E" w:rsidRDefault="009A611E">
      <w:pPr>
        <w:rPr>
          <w:rFonts w:ascii="Arial" w:hAnsi="Arial" w:cs="Arial"/>
          <w:lang w:val="mk-MK"/>
        </w:rPr>
      </w:pPr>
    </w:p>
    <w:p w:rsidR="009A611E" w:rsidRDefault="009A611E">
      <w:pPr>
        <w:rPr>
          <w:rFonts w:ascii="Arial" w:hAnsi="Arial" w:cs="Arial"/>
          <w:lang w:val="mk-MK"/>
        </w:rPr>
      </w:pPr>
    </w:p>
    <w:p w:rsidR="009A611E" w:rsidRDefault="009A611E">
      <w:pPr>
        <w:rPr>
          <w:rFonts w:ascii="Arial" w:hAnsi="Arial" w:cs="Arial"/>
          <w:lang w:val="mk-MK"/>
        </w:rPr>
      </w:pPr>
    </w:p>
    <w:p w:rsidR="009A611E" w:rsidRDefault="009A611E">
      <w:pPr>
        <w:rPr>
          <w:rFonts w:ascii="Arial" w:hAnsi="Arial" w:cs="Arial"/>
          <w:lang w:val="mk-MK"/>
        </w:rPr>
      </w:pPr>
    </w:p>
    <w:p w:rsidR="009A611E" w:rsidRDefault="009A611E">
      <w:pPr>
        <w:rPr>
          <w:rFonts w:ascii="Arial" w:hAnsi="Arial" w:cs="Arial"/>
          <w:lang w:val="mk-MK"/>
        </w:rPr>
      </w:pPr>
    </w:p>
    <w:p w:rsidR="009A611E" w:rsidRPr="009A611E" w:rsidRDefault="009A611E">
      <w:pPr>
        <w:rPr>
          <w:rFonts w:ascii="Arial" w:hAnsi="Arial" w:cs="Arial"/>
          <w:lang w:val="mk-MK"/>
        </w:rPr>
      </w:pPr>
    </w:p>
    <w:p w:rsidR="003F5FA2" w:rsidRDefault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која вредност претставува почетна цена за првото усно јавно наддавање.</w:t>
      </w:r>
    </w:p>
    <w:p w:rsidR="003F5FA2" w:rsidRDefault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3F5FA2" w:rsidRDefault="003F5FA2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се оптоварени со следните товари:</w:t>
      </w:r>
    </w:p>
    <w:p w:rsidR="003F5FA2" w:rsidRPr="00D30521" w:rsidRDefault="00D3052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_________________-</w:t>
      </w:r>
    </w:p>
    <w:p w:rsidR="003F5FA2" w:rsidRDefault="003F5FA2" w:rsidP="003F5FA2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D30521">
        <w:rPr>
          <w:rFonts w:ascii="Arial" w:hAnsi="Arial" w:cs="Arial"/>
        </w:rPr>
        <w:t>_________</w:t>
      </w:r>
      <w:r>
        <w:rPr>
          <w:rFonts w:ascii="Arial" w:hAnsi="Arial" w:cs="Arial"/>
          <w:lang w:val="mk-MK"/>
        </w:rPr>
        <w:t xml:space="preserve"> во </w:t>
      </w:r>
      <w:r w:rsidR="00D30521">
        <w:rPr>
          <w:rFonts w:ascii="Arial" w:hAnsi="Arial" w:cs="Arial"/>
        </w:rPr>
        <w:t>__________</w:t>
      </w:r>
      <w:r>
        <w:rPr>
          <w:rFonts w:ascii="Arial" w:hAnsi="Arial" w:cs="Arial"/>
          <w:lang w:val="mk-MK"/>
        </w:rPr>
        <w:t xml:space="preserve"> часот  во просториите на</w:t>
      </w:r>
      <w:r w:rsidR="00D30521">
        <w:rPr>
          <w:rFonts w:ascii="Arial" w:hAnsi="Arial" w:cs="Arial"/>
        </w:rPr>
        <w:t>____________</w:t>
      </w:r>
      <w:r>
        <w:rPr>
          <w:rFonts w:ascii="Arial" w:hAnsi="Arial" w:cs="Arial"/>
          <w:lang w:val="mk-MK"/>
        </w:rPr>
        <w:t>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</w:p>
    <w:p w:rsidR="003F5FA2" w:rsidRPr="003F5FA2" w:rsidRDefault="003F5FA2" w:rsidP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 w:rsidR="00D30521">
        <w:rPr>
          <w:rFonts w:ascii="Arial" w:hAnsi="Arial" w:cs="Arial"/>
          <w:lang w:val="en-US"/>
        </w:rPr>
        <w:t xml:space="preserve"> ___________</w:t>
      </w:r>
      <w:r>
        <w:rPr>
          <w:rFonts w:ascii="Arial" w:hAnsi="Arial" w:cs="Arial"/>
          <w:lang w:val="mk-MK"/>
        </w:rPr>
        <w:t>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</w:p>
    <w:p w:rsidR="003F5FA2" w:rsidRPr="00D30521" w:rsidRDefault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</w:t>
      </w:r>
      <w:r w:rsidR="00D30521">
        <w:rPr>
          <w:rFonts w:ascii="Arial" w:hAnsi="Arial" w:cs="Arial"/>
          <w:lang w:val="mk-MK"/>
        </w:rPr>
        <w:t xml:space="preserve">по заклучувањето на наддавањето, </w:t>
      </w:r>
      <w:r w:rsidR="00D30521"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</w:p>
    <w:p w:rsidR="003F5FA2" w:rsidRPr="00D30521" w:rsidRDefault="003F5FA2" w:rsidP="003F5FA2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Предметите што се </w:t>
      </w:r>
      <w:r w:rsidR="00D30521">
        <w:rPr>
          <w:rFonts w:ascii="Arial" w:hAnsi="Arial" w:cs="Arial"/>
          <w:lang w:val="mk-MK"/>
        </w:rPr>
        <w:t>ставени</w:t>
      </w:r>
      <w:r>
        <w:rPr>
          <w:rFonts w:ascii="Arial" w:hAnsi="Arial" w:cs="Arial"/>
          <w:lang w:val="mk-MK"/>
        </w:rPr>
        <w:t xml:space="preserve"> на продажба може да се разгледаат кај </w:t>
      </w:r>
      <w:r w:rsidR="00D30521">
        <w:rPr>
          <w:rFonts w:ascii="Arial" w:hAnsi="Arial" w:cs="Arial"/>
          <w:lang w:val="en-US"/>
        </w:rPr>
        <w:t>___________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</w:p>
    <w:p w:rsidR="00D30521" w:rsidRPr="00D30521" w:rsidRDefault="00D30521" w:rsidP="00D30521">
      <w:pPr>
        <w:ind w:firstLine="720"/>
        <w:jc w:val="both"/>
        <w:rPr>
          <w:rFonts w:ascii="Arial" w:hAnsi="Arial" w:cs="Arial"/>
          <w:lang w:val="mk-MK"/>
        </w:rPr>
      </w:pPr>
      <w:r w:rsidRPr="00D30521">
        <w:rPr>
          <w:rFonts w:ascii="Arial" w:hAnsi="Arial" w:cs="Arial"/>
          <w:lang w:val="mk-MK"/>
        </w:rPr>
        <w:lastRenderedPageBreak/>
        <w:t>Овој заклучок  се доставува до странките, а на учесниците на надавањето по нивно барање.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</w:p>
    <w:p w:rsidR="00D30521" w:rsidRDefault="00D30521">
      <w:pPr>
        <w:ind w:firstLine="720"/>
        <w:jc w:val="both"/>
        <w:rPr>
          <w:rFonts w:ascii="Arial" w:hAnsi="Arial" w:cs="Arial"/>
          <w:lang w:val="mk-MK"/>
        </w:rPr>
      </w:pPr>
    </w:p>
    <w:p w:rsidR="00D30521" w:rsidRDefault="00D30521">
      <w:pPr>
        <w:ind w:firstLine="720"/>
        <w:jc w:val="both"/>
        <w:rPr>
          <w:rFonts w:ascii="Arial" w:hAnsi="Arial" w:cs="Arial"/>
          <w:lang w:val="mk-MK"/>
        </w:rPr>
      </w:pPr>
    </w:p>
    <w:p w:rsidR="00D30521" w:rsidRDefault="00D30521">
      <w:pPr>
        <w:ind w:firstLine="720"/>
        <w:jc w:val="both"/>
        <w:rPr>
          <w:rFonts w:ascii="Arial" w:hAnsi="Arial" w:cs="Arial"/>
          <w:lang w:val="mk-MK"/>
        </w:rPr>
      </w:pPr>
    </w:p>
    <w:p w:rsidR="00CB77FC" w:rsidRDefault="00D30521" w:rsidP="00CB77FC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 w:rsidR="00CB77FC">
        <w:t xml:space="preserve"> </w:t>
      </w:r>
      <w:r w:rsidR="00CB77FC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0"/>
        <w:gridCol w:w="5231"/>
      </w:tblGrid>
      <w:tr w:rsidR="00CB77FC" w:rsidRPr="00DF02A7" w:rsidTr="00CB77FC">
        <w:tc>
          <w:tcPr>
            <w:tcW w:w="5377" w:type="dxa"/>
          </w:tcPr>
          <w:p w:rsidR="00CB77FC" w:rsidRPr="00DF02A7" w:rsidRDefault="00CB77FC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DF02A7" w:rsidRDefault="00120A99">
            <w:pPr>
              <w:jc w:val="center"/>
              <w:rPr>
                <w:lang w:val="mk-MK"/>
              </w:rPr>
            </w:pPr>
            <w:r w:rsidRPr="00120A99">
              <w:rPr>
                <w:rFonts w:ascii="Arial" w:hAnsi="Arial" w:cs="Arial"/>
                <w:bCs/>
                <w:color w:val="000000"/>
                <w:lang w:val="mk-MK" w:eastAsia="mk-MK"/>
              </w:rPr>
              <w:t>Благој Бањански</w:t>
            </w:r>
          </w:p>
        </w:tc>
      </w:tr>
    </w:tbl>
    <w:p w:rsidR="00CB77FC" w:rsidRDefault="00CB77FC" w:rsidP="00CB77FC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CB77FC" w:rsidRPr="00D30521" w:rsidRDefault="00CB77FC" w:rsidP="00CB77FC">
      <w:pPr>
        <w:pStyle w:val="BodyTex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Д.-на: </w:t>
      </w:r>
      <w:r w:rsidR="00D30521">
        <w:rPr>
          <w:rFonts w:ascii="Arial" w:hAnsi="Arial" w:cs="Arial"/>
        </w:rPr>
        <w:t>__________</w:t>
      </w:r>
    </w:p>
    <w:p w:rsidR="00CB77FC" w:rsidRDefault="00CB77FC" w:rsidP="00CB77FC">
      <w:pPr>
        <w:pStyle w:val="Body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________________</w:t>
      </w:r>
    </w:p>
    <w:p w:rsidR="00D30521" w:rsidRPr="00D30521" w:rsidRDefault="00D30521" w:rsidP="00D30521">
      <w:pPr>
        <w:jc w:val="both"/>
        <w:rPr>
          <w:rFonts w:ascii="Arial" w:hAnsi="Arial" w:cs="Arial"/>
          <w:lang w:val="mk-MK"/>
        </w:rPr>
      </w:pPr>
      <w:r w:rsidRPr="00D30521">
        <w:rPr>
          <w:rFonts w:ascii="Arial" w:hAnsi="Arial" w:cs="Arial"/>
          <w:b/>
          <w:lang w:val="mk-MK"/>
        </w:rPr>
        <w:t>Правна поука:</w:t>
      </w:r>
      <w:r w:rsidRPr="00D30521">
        <w:rPr>
          <w:rFonts w:ascii="Arial" w:hAnsi="Arial" w:cs="Arial"/>
          <w:lang w:val="mk-MK"/>
        </w:rPr>
        <w:t xml:space="preserve"> Против овој заклучок може да се поднесе приговор до Основниот суд ________________ согласно одредбите на член 86 од Законот за извршување.</w:t>
      </w:r>
    </w:p>
    <w:p w:rsidR="00D30521" w:rsidRPr="00D30521" w:rsidRDefault="00D30521" w:rsidP="00D30521">
      <w:pPr>
        <w:jc w:val="both"/>
        <w:rPr>
          <w:rFonts w:ascii="Arial" w:hAnsi="Arial" w:cs="Arial"/>
          <w:lang w:val="mk-MK"/>
        </w:rPr>
      </w:pPr>
    </w:p>
    <w:p w:rsidR="00D30521" w:rsidRPr="00D30521" w:rsidRDefault="00D30521" w:rsidP="00D30521">
      <w:pPr>
        <w:jc w:val="both"/>
        <w:rPr>
          <w:rFonts w:ascii="Arial" w:hAnsi="Arial" w:cs="Arial"/>
          <w:b/>
          <w:lang w:val="mk-MK"/>
        </w:rPr>
      </w:pPr>
    </w:p>
    <w:p w:rsidR="00D30521" w:rsidRPr="00D30521" w:rsidRDefault="00D30521" w:rsidP="00D30521">
      <w:pPr>
        <w:tabs>
          <w:tab w:val="center" w:pos="2268"/>
        </w:tabs>
        <w:jc w:val="both"/>
        <w:rPr>
          <w:rFonts w:ascii="Arial" w:hAnsi="Arial" w:cs="Arial"/>
          <w:b/>
          <w:lang w:val="mk-MK"/>
        </w:rPr>
      </w:pPr>
      <w:r w:rsidRPr="00D30521">
        <w:rPr>
          <w:rFonts w:ascii="Arial" w:hAnsi="Arial" w:cs="Arial"/>
          <w:b/>
          <w:lang w:val="mk-MK"/>
        </w:rPr>
        <w:t>Забелешка 1</w:t>
      </w:r>
      <w:r w:rsidRPr="00D30521">
        <w:rPr>
          <w:rFonts w:ascii="Arial" w:hAnsi="Arial" w:cs="Arial"/>
          <w:lang w:val="mk-MK"/>
        </w:rPr>
        <w:t>: При јавна објава на заклучокот во средства за јавно информирање не се објавуваат матичните броеви</w:t>
      </w:r>
    </w:p>
    <w:p w:rsidR="00D30521" w:rsidRPr="00D30521" w:rsidRDefault="00D30521" w:rsidP="00D30521">
      <w:pPr>
        <w:tabs>
          <w:tab w:val="center" w:pos="2268"/>
        </w:tabs>
        <w:jc w:val="both"/>
        <w:rPr>
          <w:rFonts w:ascii="Arial" w:hAnsi="Arial" w:cs="Arial"/>
          <w:b/>
          <w:lang w:val="mk-MK"/>
        </w:rPr>
      </w:pPr>
    </w:p>
    <w:p w:rsidR="00D30521" w:rsidRPr="00D30521" w:rsidRDefault="00D30521" w:rsidP="00D30521">
      <w:pPr>
        <w:tabs>
          <w:tab w:val="center" w:pos="2268"/>
        </w:tabs>
        <w:jc w:val="both"/>
        <w:rPr>
          <w:rFonts w:ascii="Arial" w:hAnsi="Arial" w:cs="Arial"/>
          <w:b/>
          <w:lang w:val="mk-MK"/>
        </w:rPr>
      </w:pPr>
      <w:r w:rsidRPr="00D30521">
        <w:rPr>
          <w:rFonts w:ascii="Arial" w:hAnsi="Arial" w:cs="Arial"/>
          <w:b/>
          <w:lang w:val="mk-MK"/>
        </w:rPr>
        <w:t xml:space="preserve">Забелешка 2: </w:t>
      </w:r>
      <w:r w:rsidRPr="00D30521">
        <w:rPr>
          <w:rFonts w:ascii="Arial" w:hAnsi="Arial" w:cs="Arial"/>
          <w:lang w:val="mk-MK"/>
        </w:rPr>
        <w:t>Образецот број  17 сообразно се</w:t>
      </w:r>
      <w:r w:rsidRPr="00D30521">
        <w:rPr>
          <w:rFonts w:ascii="Arial" w:hAnsi="Arial" w:cs="Arial"/>
          <w:b/>
          <w:lang w:val="mk-MK"/>
        </w:rPr>
        <w:t xml:space="preserve"> </w:t>
      </w:r>
      <w:r w:rsidRPr="00D30521">
        <w:rPr>
          <w:rFonts w:ascii="Arial" w:hAnsi="Arial" w:cs="Arial"/>
          <w:lang w:val="mk-MK"/>
        </w:rPr>
        <w:t>употребува при усна јавна продажба на удел  врз основа на член  164 од Законот за извршување</w:t>
      </w:r>
    </w:p>
    <w:p w:rsidR="00D30521" w:rsidRPr="00D30521" w:rsidRDefault="00D30521" w:rsidP="00D30521">
      <w:pPr>
        <w:tabs>
          <w:tab w:val="center" w:pos="2268"/>
        </w:tabs>
        <w:jc w:val="both"/>
        <w:rPr>
          <w:rFonts w:ascii="Arial" w:hAnsi="Arial" w:cs="Arial"/>
          <w:b/>
          <w:lang w:val="mk-MK"/>
        </w:rPr>
      </w:pPr>
    </w:p>
    <w:p w:rsidR="00D30521" w:rsidRPr="00D30521" w:rsidRDefault="00D30521" w:rsidP="00D30521">
      <w:pPr>
        <w:jc w:val="both"/>
        <w:rPr>
          <w:rFonts w:ascii="Arial" w:hAnsi="Arial" w:cs="Arial"/>
          <w:lang w:val="mk-MK"/>
        </w:rPr>
      </w:pPr>
      <w:r w:rsidRPr="00D30521">
        <w:rPr>
          <w:rFonts w:ascii="Arial" w:hAnsi="Arial" w:cs="Arial"/>
          <w:b/>
          <w:lang w:val="mk-MK"/>
        </w:rPr>
        <w:t xml:space="preserve">Забелешка 3: </w:t>
      </w:r>
      <w:r w:rsidRPr="00D30521">
        <w:rPr>
          <w:rFonts w:ascii="Arial" w:hAnsi="Arial" w:cs="Arial"/>
          <w:lang w:val="mk-MK"/>
        </w:rPr>
        <w:t>Образецот број 17 сообразно се</w:t>
      </w:r>
      <w:r w:rsidRPr="00D30521">
        <w:rPr>
          <w:rFonts w:ascii="Arial" w:hAnsi="Arial" w:cs="Arial"/>
          <w:b/>
          <w:lang w:val="mk-MK"/>
        </w:rPr>
        <w:t xml:space="preserve"> </w:t>
      </w:r>
      <w:r w:rsidRPr="00D30521">
        <w:rPr>
          <w:rFonts w:ascii="Arial" w:hAnsi="Arial" w:cs="Arial"/>
          <w:lang w:val="mk-MK"/>
        </w:rPr>
        <w:t>употребува при усна јавна продажба на авторски и сродни права, права од индустриска сопственост или други слични права  врз основа на член 165 од Законот за извршување</w:t>
      </w:r>
    </w:p>
    <w:p w:rsidR="003F5FA2" w:rsidRPr="00D30521" w:rsidRDefault="003F5FA2">
      <w:pPr>
        <w:ind w:firstLine="720"/>
        <w:jc w:val="both"/>
        <w:rPr>
          <w:rFonts w:ascii="Arial" w:hAnsi="Arial" w:cs="Arial"/>
          <w:lang w:val="mk-MK"/>
        </w:rPr>
      </w:pP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2978"/>
    <w:multiLevelType w:val="hybridMultilevel"/>
    <w:tmpl w:val="FA0E709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D6514E"/>
    <w:rsid w:val="000362E6"/>
    <w:rsid w:val="000A0DD6"/>
    <w:rsid w:val="00120261"/>
    <w:rsid w:val="00120A99"/>
    <w:rsid w:val="00272CF5"/>
    <w:rsid w:val="00300BF0"/>
    <w:rsid w:val="00307292"/>
    <w:rsid w:val="00361EE0"/>
    <w:rsid w:val="003C7672"/>
    <w:rsid w:val="003F0851"/>
    <w:rsid w:val="003F5FA2"/>
    <w:rsid w:val="003F65F4"/>
    <w:rsid w:val="004215A0"/>
    <w:rsid w:val="00475736"/>
    <w:rsid w:val="004B0193"/>
    <w:rsid w:val="004B13A3"/>
    <w:rsid w:val="004B2CE3"/>
    <w:rsid w:val="004C3999"/>
    <w:rsid w:val="004F539B"/>
    <w:rsid w:val="00652065"/>
    <w:rsid w:val="006803FC"/>
    <w:rsid w:val="0068739E"/>
    <w:rsid w:val="006B4A73"/>
    <w:rsid w:val="006F5B02"/>
    <w:rsid w:val="007645DB"/>
    <w:rsid w:val="00801CB7"/>
    <w:rsid w:val="00830FFF"/>
    <w:rsid w:val="00865181"/>
    <w:rsid w:val="0097568B"/>
    <w:rsid w:val="009A10C6"/>
    <w:rsid w:val="009A611E"/>
    <w:rsid w:val="00A03A89"/>
    <w:rsid w:val="00A3080A"/>
    <w:rsid w:val="00A67943"/>
    <w:rsid w:val="00A7085D"/>
    <w:rsid w:val="00B3562A"/>
    <w:rsid w:val="00B86D6C"/>
    <w:rsid w:val="00B86E93"/>
    <w:rsid w:val="00C64A8B"/>
    <w:rsid w:val="00CB77FC"/>
    <w:rsid w:val="00D30521"/>
    <w:rsid w:val="00D45674"/>
    <w:rsid w:val="00D6514E"/>
    <w:rsid w:val="00D72C80"/>
    <w:rsid w:val="00DA3212"/>
    <w:rsid w:val="00DF02A7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CE\Desktop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07.7.2025_44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наддавање_07.7.2025_4416</Template>
  <TotalTime>1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MENCE</dc:creator>
  <cp:lastModifiedBy>MENCE</cp:lastModifiedBy>
  <cp:revision>1</cp:revision>
  <dcterms:created xsi:type="dcterms:W3CDTF">2025-07-07T10:03:00Z</dcterms:created>
  <dcterms:modified xsi:type="dcterms:W3CDTF">2025-07-07T10:04:00Z</dcterms:modified>
</cp:coreProperties>
</file>