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008"/>
        <w:gridCol w:w="549"/>
        <w:gridCol w:w="956"/>
        <w:gridCol w:w="2908"/>
      </w:tblGrid>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noProof/>
                <w:sz w:val="20"/>
                <w:szCs w:val="20"/>
                <w:lang w:val="mk-MK" w:eastAsia="mk-MK"/>
              </w:rPr>
              <w:drawing>
                <wp:inline distT="0" distB="0" distL="0" distR="0" wp14:anchorId="450B35C0" wp14:editId="5A19DA12">
                  <wp:extent cx="3619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sz w:val="20"/>
                <w:szCs w:val="20"/>
                <w:lang w:val="ru-RU"/>
              </w:rPr>
              <w:t>И З В Р Ш И Т Е Л</w:t>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en-US"/>
              </w:rPr>
            </w:pPr>
            <w:r w:rsidRPr="009575CD">
              <w:rPr>
                <w:rFonts w:ascii="Arial" w:hAnsi="Arial" w:cs="Arial"/>
                <w:b/>
                <w:sz w:val="20"/>
                <w:szCs w:val="20"/>
                <w:lang w:val="ru-RU"/>
              </w:rPr>
              <w:t>Образец бр.</w:t>
            </w:r>
            <w:r w:rsidRPr="009575CD">
              <w:rPr>
                <w:rFonts w:ascii="Arial" w:hAnsi="Arial" w:cs="Arial"/>
                <w:b/>
                <w:sz w:val="20"/>
                <w:szCs w:val="20"/>
                <w:lang w:val="en-US"/>
              </w:rPr>
              <w:t>66</w:t>
            </w: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sz w:val="20"/>
                <w:szCs w:val="20"/>
                <w:lang w:val="ru-RU"/>
              </w:rPr>
              <w:t>Дарко Топчов</w:t>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sz w:val="20"/>
                <w:szCs w:val="20"/>
                <w:lang w:val="ru-RU"/>
              </w:rPr>
              <w:t>именуван за подрачјето на</w:t>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sz w:val="20"/>
                <w:szCs w:val="20"/>
                <w:lang w:val="ru-RU"/>
              </w:rPr>
              <w:t>Основен кривичен и</w:t>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r w:rsidRPr="009575CD">
              <w:rPr>
                <w:rFonts w:ascii="Arial" w:hAnsi="Arial" w:cs="Arial"/>
                <w:b/>
                <w:sz w:val="20"/>
                <w:szCs w:val="20"/>
                <w:lang w:val="en-US"/>
              </w:rPr>
              <w:t xml:space="preserve"> </w:t>
            </w:r>
            <w:r w:rsidRPr="009575CD">
              <w:rPr>
                <w:rFonts w:ascii="Arial" w:hAnsi="Arial" w:cs="Arial"/>
                <w:b/>
                <w:sz w:val="20"/>
                <w:szCs w:val="20"/>
                <w:lang w:val="mk-MK"/>
              </w:rPr>
              <w:t xml:space="preserve"> </w:t>
            </w:r>
            <w:r w:rsidRPr="009575CD">
              <w:rPr>
                <w:rFonts w:ascii="Arial" w:hAnsi="Arial" w:cs="Arial"/>
                <w:b/>
                <w:sz w:val="20"/>
                <w:szCs w:val="20"/>
                <w:lang w:val="ru-RU"/>
              </w:rPr>
              <w:t>И.бр.597/2025</w:t>
            </w: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sz w:val="20"/>
                <w:szCs w:val="20"/>
                <w:lang w:val="ru-RU"/>
              </w:rPr>
              <w:t>Основен граѓански суд Скопје</w:t>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sz w:val="20"/>
                <w:szCs w:val="20"/>
                <w:lang w:val="ru-RU"/>
              </w:rPr>
              <w:t>ул.Народен Фронт бр.25/1-3</w:t>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r w:rsidRPr="009575CD">
              <w:rPr>
                <w:rFonts w:ascii="Arial" w:hAnsi="Arial" w:cs="Arial"/>
                <w:b/>
                <w:sz w:val="20"/>
                <w:szCs w:val="20"/>
                <w:lang w:val="ru-RU"/>
              </w:rPr>
              <w:t>тел.02/3224-794</w:t>
            </w: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p>
        </w:tc>
      </w:tr>
      <w:tr w:rsidR="009575CD" w:rsidRPr="009575CD" w:rsidTr="00212CD2">
        <w:tc>
          <w:tcPr>
            <w:tcW w:w="6008" w:type="dxa"/>
            <w:hideMark/>
          </w:tcPr>
          <w:p w:rsidR="009575CD" w:rsidRPr="009575CD" w:rsidRDefault="009575CD" w:rsidP="00212CD2">
            <w:pPr>
              <w:tabs>
                <w:tab w:val="center" w:pos="2268"/>
              </w:tabs>
              <w:jc w:val="center"/>
              <w:rPr>
                <w:rFonts w:ascii="Arial" w:hAnsi="Arial" w:cs="Arial"/>
                <w:b/>
                <w:sz w:val="20"/>
                <w:szCs w:val="20"/>
                <w:lang w:val="ru-RU"/>
              </w:rPr>
            </w:pPr>
          </w:p>
        </w:tc>
        <w:tc>
          <w:tcPr>
            <w:tcW w:w="549" w:type="dxa"/>
          </w:tcPr>
          <w:p w:rsidR="009575CD" w:rsidRPr="009575CD" w:rsidRDefault="009575CD" w:rsidP="00212CD2">
            <w:pPr>
              <w:tabs>
                <w:tab w:val="center" w:pos="2268"/>
              </w:tabs>
              <w:jc w:val="both"/>
              <w:rPr>
                <w:rFonts w:ascii="Arial" w:hAnsi="Arial" w:cs="Arial"/>
                <w:b/>
                <w:sz w:val="20"/>
                <w:szCs w:val="20"/>
                <w:lang w:val="ru-RU"/>
              </w:rPr>
            </w:pPr>
          </w:p>
        </w:tc>
        <w:tc>
          <w:tcPr>
            <w:tcW w:w="956" w:type="dxa"/>
          </w:tcPr>
          <w:p w:rsidR="009575CD" w:rsidRPr="009575CD" w:rsidRDefault="009575CD" w:rsidP="00212CD2">
            <w:pPr>
              <w:tabs>
                <w:tab w:val="center" w:pos="2268"/>
              </w:tabs>
              <w:jc w:val="both"/>
              <w:rPr>
                <w:rFonts w:ascii="Arial" w:hAnsi="Arial" w:cs="Arial"/>
                <w:b/>
                <w:sz w:val="20"/>
                <w:szCs w:val="20"/>
                <w:lang w:val="ru-RU"/>
              </w:rPr>
            </w:pPr>
          </w:p>
        </w:tc>
        <w:tc>
          <w:tcPr>
            <w:tcW w:w="2908" w:type="dxa"/>
          </w:tcPr>
          <w:p w:rsidR="009575CD" w:rsidRPr="009575CD" w:rsidRDefault="009575CD" w:rsidP="00212CD2">
            <w:pPr>
              <w:tabs>
                <w:tab w:val="center" w:pos="2268"/>
              </w:tabs>
              <w:jc w:val="both"/>
              <w:rPr>
                <w:rFonts w:ascii="Arial" w:hAnsi="Arial" w:cs="Arial"/>
                <w:b/>
                <w:sz w:val="20"/>
                <w:szCs w:val="20"/>
                <w:lang w:val="ru-RU"/>
              </w:rPr>
            </w:pPr>
          </w:p>
        </w:tc>
      </w:tr>
    </w:tbl>
    <w:p w:rsidR="009575CD" w:rsidRDefault="009575CD" w:rsidP="009575CD">
      <w:pPr>
        <w:jc w:val="both"/>
        <w:rPr>
          <w:rFonts w:ascii="Arial" w:hAnsi="Arial" w:cs="Arial"/>
          <w:sz w:val="20"/>
          <w:szCs w:val="20"/>
          <w:lang w:val="mk-MK"/>
        </w:rPr>
      </w:pPr>
      <w:r w:rsidRPr="009575CD">
        <w:rPr>
          <w:rFonts w:ascii="Arial" w:hAnsi="Arial" w:cs="Arial"/>
          <w:sz w:val="20"/>
          <w:szCs w:val="20"/>
          <w:lang w:val="mk-MK"/>
        </w:rPr>
        <w:t xml:space="preserve">Извршителот </w:t>
      </w:r>
      <w:r w:rsidRPr="009575CD">
        <w:rPr>
          <w:rFonts w:ascii="Arial" w:hAnsi="Arial" w:cs="Arial"/>
          <w:b/>
          <w:bCs/>
          <w:color w:val="000000"/>
          <w:sz w:val="20"/>
          <w:szCs w:val="20"/>
          <w:lang w:val="mk-MK" w:eastAsia="mk-MK"/>
        </w:rPr>
        <w:t>Дарко Топчов</w:t>
      </w:r>
      <w:r w:rsidRPr="009575CD">
        <w:rPr>
          <w:rFonts w:ascii="Arial" w:hAnsi="Arial" w:cs="Arial"/>
          <w:sz w:val="20"/>
          <w:szCs w:val="20"/>
          <w:lang w:val="mk-MK"/>
        </w:rPr>
        <w:t xml:space="preserve"> од </w:t>
      </w:r>
      <w:r w:rsidRPr="009575CD">
        <w:rPr>
          <w:rFonts w:ascii="Arial" w:hAnsi="Arial" w:cs="Arial"/>
          <w:b/>
          <w:bCs/>
          <w:color w:val="000000"/>
          <w:sz w:val="20"/>
          <w:szCs w:val="20"/>
          <w:lang w:val="mk-MK" w:eastAsia="mk-MK"/>
        </w:rPr>
        <w:t>Скопје</w:t>
      </w:r>
      <w:r w:rsidRPr="009575CD">
        <w:rPr>
          <w:rFonts w:ascii="Arial" w:hAnsi="Arial" w:cs="Arial"/>
          <w:sz w:val="20"/>
          <w:szCs w:val="20"/>
          <w:lang w:val="mk-MK"/>
        </w:rPr>
        <w:t xml:space="preserve"> врз основа на барањето за спроведување на извршување од </w:t>
      </w:r>
      <w:r w:rsidRPr="009575CD">
        <w:rPr>
          <w:rFonts w:ascii="Arial" w:hAnsi="Arial" w:cs="Arial"/>
          <w:b/>
          <w:sz w:val="20"/>
          <w:szCs w:val="20"/>
          <w:lang w:val="mk-MK"/>
        </w:rPr>
        <w:t xml:space="preserve">доверителот </w:t>
      </w:r>
      <w:r w:rsidRPr="009575CD">
        <w:rPr>
          <w:rFonts w:ascii="Arial" w:hAnsi="Arial" w:cs="Arial"/>
          <w:b/>
          <w:bCs/>
          <w:color w:val="000000"/>
          <w:sz w:val="20"/>
          <w:szCs w:val="20"/>
          <w:lang w:val="mk-MK" w:eastAsia="mk-MK"/>
        </w:rPr>
        <w:t>Андреј Тошевски од Скопје</w:t>
      </w:r>
      <w:r w:rsidRPr="009575CD">
        <w:rPr>
          <w:rFonts w:ascii="Arial" w:hAnsi="Arial" w:cs="Arial"/>
          <w:sz w:val="20"/>
          <w:szCs w:val="20"/>
          <w:lang w:val="mk-MK"/>
        </w:rPr>
        <w:t xml:space="preserve"> со живеалиште на </w:t>
      </w:r>
      <w:r w:rsidRPr="009575CD">
        <w:rPr>
          <w:rFonts w:ascii="Arial" w:hAnsi="Arial" w:cs="Arial"/>
          <w:color w:val="000000"/>
          <w:sz w:val="20"/>
          <w:szCs w:val="20"/>
          <w:lang w:val="mk-MK" w:eastAsia="mk-MK"/>
        </w:rPr>
        <w:t>ул.Речиште бр.94, Драчево, Скопје</w:t>
      </w:r>
      <w:r w:rsidRPr="009575CD">
        <w:rPr>
          <w:rFonts w:ascii="Arial" w:hAnsi="Arial" w:cs="Arial"/>
          <w:sz w:val="20"/>
          <w:szCs w:val="20"/>
          <w:lang w:val="mk-MK"/>
        </w:rPr>
        <w:t xml:space="preserve">, преку полномошник Ацо Василев, адвокат од Скопје, засновано на извршна исправа-Солемнизација (Потврдување) на приватна исправа-Договор за засновање на заложно право врз недвижност </w:t>
      </w:r>
      <w:r w:rsidRPr="009575CD">
        <w:rPr>
          <w:rFonts w:ascii="Arial" w:hAnsi="Arial" w:cs="Arial"/>
          <w:color w:val="000000"/>
          <w:sz w:val="20"/>
          <w:szCs w:val="20"/>
          <w:lang w:val="mk-MK" w:eastAsia="mk-MK"/>
        </w:rPr>
        <w:t>ОДУ.бр.2345/24</w:t>
      </w:r>
      <w:r w:rsidRPr="009575CD">
        <w:rPr>
          <w:rFonts w:ascii="Arial" w:hAnsi="Arial" w:cs="Arial"/>
          <w:sz w:val="20"/>
          <w:szCs w:val="20"/>
          <w:lang w:val="mk-MK"/>
        </w:rPr>
        <w:t xml:space="preserve"> од </w:t>
      </w:r>
      <w:r w:rsidRPr="009575CD">
        <w:rPr>
          <w:rFonts w:ascii="Arial" w:hAnsi="Arial" w:cs="Arial"/>
          <w:color w:val="000000"/>
          <w:sz w:val="20"/>
          <w:szCs w:val="20"/>
          <w:lang w:val="mk-MK" w:eastAsia="mk-MK"/>
        </w:rPr>
        <w:t>24.12.2024</w:t>
      </w:r>
      <w:r w:rsidRPr="009575CD">
        <w:rPr>
          <w:rFonts w:ascii="Arial" w:hAnsi="Arial" w:cs="Arial"/>
          <w:sz w:val="20"/>
          <w:szCs w:val="20"/>
          <w:lang w:val="mk-MK"/>
        </w:rPr>
        <w:t xml:space="preserve"> година на </w:t>
      </w:r>
      <w:r w:rsidRPr="009575CD">
        <w:rPr>
          <w:rFonts w:ascii="Arial" w:hAnsi="Arial" w:cs="Arial"/>
          <w:color w:val="000000"/>
          <w:sz w:val="20"/>
          <w:szCs w:val="20"/>
          <w:lang w:val="mk-MK" w:eastAsia="mk-MK"/>
        </w:rPr>
        <w:t>Нотар Ана Дојчиновска од Скопје и</w:t>
      </w:r>
      <w:r w:rsidRPr="009575CD">
        <w:rPr>
          <w:rFonts w:ascii="Arial" w:hAnsi="Arial" w:cs="Arial"/>
          <w:sz w:val="20"/>
          <w:szCs w:val="20"/>
          <w:lang w:val="mk-MK"/>
        </w:rPr>
        <w:t xml:space="preserve"> Солемнизација (Потврдување) на приватна исправа-Анекс на Договор за засновање на заложно право врз недвижност </w:t>
      </w:r>
      <w:r w:rsidRPr="009575CD">
        <w:rPr>
          <w:rFonts w:ascii="Arial" w:hAnsi="Arial" w:cs="Arial"/>
          <w:color w:val="000000"/>
          <w:sz w:val="20"/>
          <w:szCs w:val="20"/>
          <w:lang w:val="mk-MK" w:eastAsia="mk-MK"/>
        </w:rPr>
        <w:t>ОДУ.бр.1561/25</w:t>
      </w:r>
      <w:r w:rsidRPr="009575CD">
        <w:rPr>
          <w:rFonts w:ascii="Arial" w:hAnsi="Arial" w:cs="Arial"/>
          <w:sz w:val="20"/>
          <w:szCs w:val="20"/>
          <w:lang w:val="mk-MK"/>
        </w:rPr>
        <w:t xml:space="preserve"> од </w:t>
      </w:r>
      <w:r w:rsidRPr="009575CD">
        <w:rPr>
          <w:rFonts w:ascii="Arial" w:hAnsi="Arial" w:cs="Arial"/>
          <w:color w:val="000000"/>
          <w:sz w:val="20"/>
          <w:szCs w:val="20"/>
          <w:lang w:val="mk-MK" w:eastAsia="mk-MK"/>
        </w:rPr>
        <w:t>19.05.2025</w:t>
      </w:r>
      <w:r w:rsidRPr="009575CD">
        <w:rPr>
          <w:rFonts w:ascii="Arial" w:hAnsi="Arial" w:cs="Arial"/>
          <w:sz w:val="20"/>
          <w:szCs w:val="20"/>
          <w:lang w:val="mk-MK"/>
        </w:rPr>
        <w:t xml:space="preserve"> година на </w:t>
      </w:r>
      <w:r w:rsidRPr="009575CD">
        <w:rPr>
          <w:rFonts w:ascii="Arial" w:hAnsi="Arial" w:cs="Arial"/>
          <w:color w:val="000000"/>
          <w:sz w:val="20"/>
          <w:szCs w:val="20"/>
          <w:lang w:val="mk-MK" w:eastAsia="mk-MK"/>
        </w:rPr>
        <w:t>Нотар Ана Дојчиновска од Скопје</w:t>
      </w:r>
      <w:r w:rsidRPr="009575CD">
        <w:rPr>
          <w:rFonts w:ascii="Arial" w:hAnsi="Arial" w:cs="Arial"/>
          <w:sz w:val="20"/>
          <w:szCs w:val="20"/>
          <w:lang w:val="mk-MK"/>
        </w:rPr>
        <w:t xml:space="preserve">, против </w:t>
      </w:r>
      <w:r w:rsidRPr="009575CD">
        <w:rPr>
          <w:rFonts w:ascii="Arial" w:hAnsi="Arial" w:cs="Arial"/>
          <w:b/>
          <w:sz w:val="20"/>
          <w:szCs w:val="20"/>
          <w:lang w:val="mk-MK"/>
        </w:rPr>
        <w:t>должникот</w:t>
      </w:r>
      <w:r w:rsidRPr="009575CD">
        <w:rPr>
          <w:rFonts w:ascii="Arial" w:hAnsi="Arial" w:cs="Arial"/>
          <w:sz w:val="20"/>
          <w:szCs w:val="20"/>
          <w:lang w:val="mk-MK"/>
        </w:rPr>
        <w:t xml:space="preserve"> </w:t>
      </w:r>
      <w:r w:rsidRPr="009575CD">
        <w:rPr>
          <w:rFonts w:ascii="Arial" w:hAnsi="Arial" w:cs="Arial"/>
          <w:b/>
          <w:sz w:val="20"/>
          <w:szCs w:val="20"/>
          <w:lang w:val="mk-MK"/>
        </w:rPr>
        <w:t>Дејан Пејчиноски од Скопје</w:t>
      </w:r>
      <w:r w:rsidRPr="009575CD">
        <w:rPr>
          <w:rFonts w:ascii="Arial" w:hAnsi="Arial" w:cs="Arial"/>
          <w:sz w:val="20"/>
          <w:szCs w:val="20"/>
          <w:lang w:val="mk-MK"/>
        </w:rPr>
        <w:t xml:space="preserve"> </w:t>
      </w:r>
      <w:r w:rsidRPr="009575CD">
        <w:rPr>
          <w:rFonts w:ascii="Arial" w:hAnsi="Arial" w:cs="Arial"/>
          <w:sz w:val="20"/>
          <w:szCs w:val="20"/>
          <w:lang w:val="mk-MK"/>
        </w:rPr>
        <w:t>со</w:t>
      </w:r>
      <w:r w:rsidRPr="009575CD">
        <w:rPr>
          <w:rFonts w:ascii="Arial" w:hAnsi="Arial" w:cs="Arial"/>
          <w:sz w:val="20"/>
          <w:szCs w:val="20"/>
          <w:lang w:val="mk-MK"/>
        </w:rPr>
        <w:t xml:space="preserve"> живеалиште на ул.Речиште бр.94, Драчево, Скопје </w:t>
      </w:r>
      <w:r w:rsidRPr="009575CD">
        <w:rPr>
          <w:rFonts w:ascii="Arial" w:hAnsi="Arial" w:cs="Arial"/>
          <w:b/>
          <w:sz w:val="20"/>
          <w:szCs w:val="20"/>
          <w:lang w:val="mk-MK"/>
        </w:rPr>
        <w:t>и заложниот должник</w:t>
      </w:r>
      <w:r w:rsidRPr="009575CD">
        <w:rPr>
          <w:rFonts w:ascii="Arial" w:hAnsi="Arial" w:cs="Arial"/>
          <w:sz w:val="20"/>
          <w:szCs w:val="20"/>
          <w:lang w:val="mk-MK"/>
        </w:rPr>
        <w:t xml:space="preserve"> </w:t>
      </w:r>
      <w:r w:rsidRPr="009575CD">
        <w:rPr>
          <w:rFonts w:ascii="Arial" w:hAnsi="Arial" w:cs="Arial"/>
          <w:b/>
          <w:bCs/>
          <w:color w:val="000000"/>
          <w:sz w:val="20"/>
          <w:szCs w:val="20"/>
          <w:lang w:val="mk-MK" w:eastAsia="mk-MK"/>
        </w:rPr>
        <w:t>Александар Китанов од Скопје</w:t>
      </w:r>
      <w:r w:rsidRPr="009575CD">
        <w:rPr>
          <w:rFonts w:ascii="Arial" w:hAnsi="Arial" w:cs="Arial"/>
          <w:sz w:val="20"/>
          <w:szCs w:val="20"/>
          <w:lang w:val="mk-MK"/>
        </w:rPr>
        <w:t xml:space="preserve"> </w:t>
      </w:r>
      <w:r w:rsidRPr="009575CD">
        <w:rPr>
          <w:rFonts w:ascii="Arial" w:hAnsi="Arial" w:cs="Arial"/>
          <w:sz w:val="20"/>
          <w:szCs w:val="20"/>
          <w:lang w:val="mk-MK"/>
        </w:rPr>
        <w:t>со</w:t>
      </w:r>
      <w:r w:rsidRPr="009575CD">
        <w:rPr>
          <w:rFonts w:ascii="Arial" w:hAnsi="Arial" w:cs="Arial"/>
          <w:sz w:val="20"/>
          <w:szCs w:val="20"/>
          <w:lang w:val="mk-MK"/>
        </w:rPr>
        <w:t xml:space="preserve"> живеалиште на </w:t>
      </w:r>
      <w:r w:rsidRPr="009575CD">
        <w:rPr>
          <w:rFonts w:ascii="Arial" w:hAnsi="Arial" w:cs="Arial"/>
          <w:color w:val="000000"/>
          <w:sz w:val="20"/>
          <w:szCs w:val="20"/>
          <w:lang w:val="mk-MK" w:eastAsia="mk-MK"/>
        </w:rPr>
        <w:t>ул.Речиште бр.82, Драчево, Скопје</w:t>
      </w:r>
      <w:r w:rsidRPr="009575CD">
        <w:rPr>
          <w:rFonts w:ascii="Arial" w:hAnsi="Arial" w:cs="Arial"/>
          <w:sz w:val="20"/>
          <w:szCs w:val="20"/>
          <w:lang w:val="mk-MK"/>
        </w:rPr>
        <w:t xml:space="preserve">, за спроведување на извршување во вредност </w:t>
      </w:r>
      <w:r w:rsidRPr="009575CD">
        <w:rPr>
          <w:rFonts w:ascii="Arial" w:hAnsi="Arial" w:cs="Arial"/>
          <w:color w:val="000000"/>
          <w:sz w:val="20"/>
          <w:szCs w:val="20"/>
          <w:lang w:val="mk-MK" w:eastAsia="mk-MK"/>
        </w:rPr>
        <w:t>од 35.000,00 евра во денарска противвредност по среден курс на НБРСМ на денот на исплатата,</w:t>
      </w:r>
      <w:r w:rsidRPr="009575CD">
        <w:rPr>
          <w:rFonts w:ascii="Arial" w:hAnsi="Arial" w:cs="Arial"/>
          <w:sz w:val="20"/>
          <w:szCs w:val="20"/>
          <w:lang w:val="mk-MK"/>
        </w:rPr>
        <w:t xml:space="preserve"> на ден </w:t>
      </w:r>
      <w:r w:rsidRPr="009575CD">
        <w:rPr>
          <w:rFonts w:ascii="Arial" w:hAnsi="Arial" w:cs="Arial"/>
          <w:sz w:val="20"/>
          <w:szCs w:val="20"/>
          <w:lang w:val="en-US"/>
        </w:rPr>
        <w:t>28.11</w:t>
      </w:r>
      <w:r w:rsidRPr="009575CD">
        <w:rPr>
          <w:rFonts w:ascii="Arial" w:hAnsi="Arial" w:cs="Arial"/>
          <w:sz w:val="20"/>
          <w:szCs w:val="20"/>
          <w:lang w:val="mk-MK"/>
        </w:rPr>
        <w:t>.2025 година го донесува следниот:</w:t>
      </w:r>
    </w:p>
    <w:p w:rsidR="009575CD" w:rsidRPr="009575CD" w:rsidRDefault="009575CD" w:rsidP="009575CD">
      <w:pPr>
        <w:jc w:val="both"/>
        <w:rPr>
          <w:rFonts w:ascii="Arial" w:hAnsi="Arial" w:cs="Arial"/>
          <w:sz w:val="20"/>
          <w:szCs w:val="20"/>
          <w:lang w:val="mk-MK"/>
        </w:rPr>
      </w:pPr>
    </w:p>
    <w:p w:rsidR="009575CD" w:rsidRPr="009575CD" w:rsidRDefault="009575CD" w:rsidP="009575CD">
      <w:pPr>
        <w:jc w:val="center"/>
        <w:rPr>
          <w:rFonts w:ascii="Arial" w:hAnsi="Arial" w:cs="Arial"/>
          <w:b/>
          <w:sz w:val="20"/>
          <w:szCs w:val="20"/>
          <w:lang w:val="mk-MK"/>
        </w:rPr>
      </w:pPr>
      <w:r w:rsidRPr="009575CD">
        <w:rPr>
          <w:rFonts w:ascii="Arial" w:hAnsi="Arial" w:cs="Arial"/>
          <w:b/>
          <w:sz w:val="20"/>
          <w:szCs w:val="20"/>
          <w:lang w:val="mk-MK"/>
        </w:rPr>
        <w:t>З А К Л У Ч О К</w:t>
      </w:r>
    </w:p>
    <w:p w:rsidR="009575CD" w:rsidRPr="009575CD" w:rsidRDefault="009575CD" w:rsidP="009575CD">
      <w:pPr>
        <w:jc w:val="center"/>
        <w:rPr>
          <w:rFonts w:ascii="Arial" w:hAnsi="Arial" w:cs="Arial"/>
          <w:b/>
          <w:sz w:val="20"/>
          <w:szCs w:val="20"/>
          <w:lang w:val="mk-MK"/>
        </w:rPr>
      </w:pPr>
      <w:r w:rsidRPr="009575CD">
        <w:rPr>
          <w:rFonts w:ascii="Arial" w:hAnsi="Arial" w:cs="Arial"/>
          <w:b/>
          <w:sz w:val="20"/>
          <w:szCs w:val="20"/>
          <w:lang w:val="mk-MK"/>
        </w:rPr>
        <w:t>ЗА УСНА ЈАВНА ПРОДАЖБА</w:t>
      </w:r>
    </w:p>
    <w:p w:rsidR="009575CD" w:rsidRPr="009575CD" w:rsidRDefault="009575CD" w:rsidP="009575CD">
      <w:pPr>
        <w:jc w:val="center"/>
        <w:rPr>
          <w:rFonts w:ascii="Arial" w:hAnsi="Arial" w:cs="Arial"/>
          <w:b/>
          <w:sz w:val="20"/>
          <w:szCs w:val="20"/>
          <w:lang w:val="mk-MK"/>
        </w:rPr>
      </w:pPr>
      <w:r w:rsidRPr="009575CD">
        <w:rPr>
          <w:rFonts w:ascii="Arial" w:hAnsi="Arial" w:cs="Arial"/>
          <w:b/>
          <w:sz w:val="20"/>
          <w:szCs w:val="20"/>
          <w:lang w:val="mk-MK"/>
        </w:rPr>
        <w:t xml:space="preserve">(врз основа на членовите 179 став (1), 181 став (1) и 182 став (1) од </w:t>
      </w:r>
      <w:r w:rsidRPr="009575CD">
        <w:rPr>
          <w:rFonts w:ascii="Arial" w:hAnsi="Arial" w:cs="Arial"/>
          <w:b/>
          <w:bCs/>
          <w:sz w:val="20"/>
          <w:szCs w:val="20"/>
          <w:lang w:val="mk-MK"/>
        </w:rPr>
        <w:t>Законот за извршување</w:t>
      </w:r>
      <w:r w:rsidRPr="009575CD">
        <w:rPr>
          <w:rFonts w:ascii="Arial" w:hAnsi="Arial" w:cs="Arial"/>
          <w:b/>
          <w:sz w:val="20"/>
          <w:szCs w:val="20"/>
          <w:lang w:val="mk-MK"/>
        </w:rPr>
        <w:t>)</w:t>
      </w:r>
    </w:p>
    <w:p w:rsidR="009575CD" w:rsidRPr="009575CD" w:rsidRDefault="009575CD" w:rsidP="009575CD">
      <w:pPr>
        <w:jc w:val="center"/>
        <w:rPr>
          <w:rFonts w:ascii="Arial" w:hAnsi="Arial" w:cs="Arial"/>
          <w:b/>
          <w:sz w:val="20"/>
          <w:szCs w:val="20"/>
          <w:lang w:val="mk-MK"/>
        </w:rPr>
      </w:pPr>
    </w:p>
    <w:p w:rsidR="009575CD" w:rsidRPr="009575CD" w:rsidRDefault="009575CD" w:rsidP="009575CD">
      <w:pPr>
        <w:rPr>
          <w:rFonts w:ascii="Arial" w:hAnsi="Arial" w:cs="Arial"/>
          <w:sz w:val="20"/>
          <w:szCs w:val="20"/>
          <w:lang w:val="mk-MK"/>
        </w:rPr>
      </w:pPr>
    </w:p>
    <w:p w:rsidR="009575CD" w:rsidRPr="009575CD" w:rsidRDefault="009575CD" w:rsidP="009575CD">
      <w:pPr>
        <w:jc w:val="both"/>
        <w:rPr>
          <w:rFonts w:ascii="Arial" w:hAnsi="Arial" w:cs="Arial"/>
          <w:sz w:val="20"/>
          <w:szCs w:val="20"/>
          <w:lang w:val="mk-MK"/>
        </w:rPr>
      </w:pPr>
      <w:r w:rsidRPr="009575CD">
        <w:rPr>
          <w:rFonts w:ascii="Arial" w:hAnsi="Arial" w:cs="Arial"/>
          <w:b/>
          <w:sz w:val="20"/>
          <w:szCs w:val="20"/>
          <w:lang w:val="mk-MK"/>
        </w:rPr>
        <w:t>СЕ ОПРЕДЕЛУВА</w:t>
      </w:r>
      <w:r w:rsidRPr="009575CD">
        <w:rPr>
          <w:rFonts w:ascii="Arial" w:hAnsi="Arial" w:cs="Arial"/>
          <w:sz w:val="20"/>
          <w:szCs w:val="20"/>
          <w:lang w:val="mk-MK"/>
        </w:rPr>
        <w:t xml:space="preserve"> </w:t>
      </w:r>
      <w:r w:rsidRPr="009575CD">
        <w:rPr>
          <w:rFonts w:ascii="Arial" w:hAnsi="Arial" w:cs="Arial"/>
          <w:b/>
          <w:sz w:val="20"/>
          <w:szCs w:val="20"/>
          <w:lang w:val="mk-MK"/>
        </w:rPr>
        <w:t>ВТОРА ПРОДАЖБА</w:t>
      </w:r>
      <w:r w:rsidRPr="009575CD">
        <w:rPr>
          <w:rFonts w:ascii="Arial" w:hAnsi="Arial" w:cs="Arial"/>
          <w:sz w:val="20"/>
          <w:szCs w:val="20"/>
          <w:lang w:val="mk-MK"/>
        </w:rPr>
        <w:t xml:space="preserve"> со усно јавно наддавање на недвижноста сопственост на заложниот должник </w:t>
      </w:r>
      <w:r w:rsidRPr="009575CD">
        <w:rPr>
          <w:rFonts w:ascii="Arial" w:hAnsi="Arial" w:cs="Arial"/>
          <w:b/>
          <w:bCs/>
          <w:color w:val="000000"/>
          <w:sz w:val="20"/>
          <w:szCs w:val="20"/>
          <w:lang w:val="mk-MK" w:eastAsia="mk-MK"/>
        </w:rPr>
        <w:t>Александар Китанов од Скопје</w:t>
      </w:r>
      <w:r w:rsidRPr="009575CD">
        <w:rPr>
          <w:rFonts w:ascii="Arial" w:hAnsi="Arial" w:cs="Arial"/>
          <w:sz w:val="20"/>
          <w:szCs w:val="20"/>
          <w:lang w:val="mk-MK"/>
        </w:rPr>
        <w:t xml:space="preserve">, запишана во </w:t>
      </w:r>
      <w:r w:rsidRPr="009575CD">
        <w:rPr>
          <w:rFonts w:ascii="Arial" w:hAnsi="Arial" w:cs="Arial"/>
          <w:b/>
          <w:sz w:val="20"/>
          <w:szCs w:val="20"/>
          <w:lang w:val="mk-MK"/>
        </w:rPr>
        <w:t xml:space="preserve">Имотен лист број </w:t>
      </w:r>
      <w:r w:rsidRPr="009575CD">
        <w:rPr>
          <w:rFonts w:ascii="Arial" w:hAnsi="Arial" w:cs="Arial"/>
          <w:b/>
          <w:sz w:val="20"/>
          <w:szCs w:val="20"/>
          <w:lang w:val="en-US"/>
        </w:rPr>
        <w:t xml:space="preserve">191654 </w:t>
      </w:r>
      <w:r w:rsidRPr="009575CD">
        <w:rPr>
          <w:rFonts w:ascii="Arial" w:hAnsi="Arial" w:cs="Arial"/>
          <w:b/>
          <w:sz w:val="20"/>
          <w:szCs w:val="20"/>
          <w:lang w:val="mk-MK"/>
        </w:rPr>
        <w:t>КО Драчево 2</w:t>
      </w:r>
      <w:r w:rsidRPr="009575CD">
        <w:rPr>
          <w:rFonts w:ascii="Arial" w:hAnsi="Arial" w:cs="Arial"/>
          <w:sz w:val="20"/>
          <w:szCs w:val="20"/>
          <w:lang w:val="mk-MK"/>
        </w:rPr>
        <w:t xml:space="preserve"> при АКН на РСМ, со следните катастарски ознаки:</w:t>
      </w:r>
    </w:p>
    <w:p w:rsidR="009575CD" w:rsidRPr="009575CD" w:rsidRDefault="009575CD" w:rsidP="009575CD">
      <w:pPr>
        <w:ind w:firstLine="720"/>
        <w:jc w:val="both"/>
        <w:rPr>
          <w:rFonts w:ascii="Arial" w:hAnsi="Arial" w:cs="Arial"/>
          <w:sz w:val="20"/>
          <w:szCs w:val="20"/>
          <w:lang w:val="mk-MK"/>
        </w:rPr>
      </w:pP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ЛИСТ Б: ПОДАТОЦИ ЗА ЗЕМЈИШТЕТО (КАТАСТАРСКА ПАРЦЕЛА) И ЗА ПРАВОТО НА СОПСТВЕНОСТ</w:t>
      </w: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-број на катастарска парцела основен 12658, викано место/улица РЕЧИШТЕ, катастарска култура ГЗ ГИЗ, површина 231 м2, СОПСТВЕНОСТ</w:t>
      </w: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-број на катастарска парцела основен 12658, викано место/улица РЕЧИШТЕ, катастарска култура ГЗ ЗПЗ 1, површина 130 м2, СОПСТВЕНОСТ</w:t>
      </w: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-број на катастарска парцела основен 12658, викано место/улица РЕЧИШТЕ, катастарска култура ГЗ ЗПЗ 2, површина 21 м2, СОПСТВЕНОСТ</w:t>
      </w:r>
    </w:p>
    <w:p w:rsidR="009575CD" w:rsidRPr="009575CD" w:rsidRDefault="009575CD" w:rsidP="009575CD">
      <w:pPr>
        <w:jc w:val="both"/>
        <w:rPr>
          <w:rFonts w:ascii="Arial" w:hAnsi="Arial" w:cs="Arial"/>
          <w:bCs/>
          <w:sz w:val="20"/>
          <w:szCs w:val="20"/>
          <w:lang w:val="en-US"/>
        </w:rPr>
      </w:pP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ЛИСТ В: ПОДАТОЦИ ЗА ЗГРАДИ, ПОСЕБНИ ДЕЛОВИ ОД ЗГРАДИ И ДРУГИ ОБЈЕКТИ И ЗА ПРАВОТО НА СОПСТВЕНОСТ</w:t>
      </w:r>
    </w:p>
    <w:p w:rsidR="009575CD" w:rsidRPr="009575CD" w:rsidRDefault="009575CD" w:rsidP="009575CD">
      <w:pPr>
        <w:jc w:val="both"/>
        <w:rPr>
          <w:rFonts w:ascii="Arial" w:hAnsi="Arial" w:cs="Arial"/>
          <w:bCs/>
          <w:sz w:val="20"/>
          <w:szCs w:val="20"/>
          <w:lang w:val="en-US"/>
        </w:rPr>
      </w:pPr>
      <w:r w:rsidRPr="009575CD">
        <w:rPr>
          <w:rFonts w:ascii="Arial" w:hAnsi="Arial" w:cs="Arial"/>
          <w:bCs/>
          <w:sz w:val="20"/>
          <w:szCs w:val="20"/>
          <w:lang w:val="mk-MK"/>
        </w:rPr>
        <w:t>-број на катастарска парцела основен 12658, дел 0, адреса (улица и куќен број на зграда) ул.Речиште бр.82, број на зграда/друг објект 1, нам.на згр.преземан при конверзија на податоците од стариот ел.систем А1-1, влез 1, кат К1, број 1, намена на посебен/заеднички дел од зграда ПП, внатрешна површина 27 м2, СОПСТВЕНОСТ</w:t>
      </w: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-број на катастарска парцела основен 12658, дел 0, адреса (улица и куќен број на зграда) ул.Речиште бр.82, број на зграда/друг објект 1, нам.на згр.преземан при конверзија на податоците од стариот ел.систем А1-1, влез 1, кат К1, број 1, намена на посебен/заеднички дел од зграда СТ, внатрешна површина 75 м2, СОПСТВЕНОСТ</w:t>
      </w: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-број на катастарска парцела основен 12658, дел 0, адреса (улица и куќен број на зграда) ул.Речиште бр.82, број на зграда/друг објект 1, нам.на згр.преземан при конверзија на податоците од стариот ел.систем А1-1, влез 1, кат ПР, број 1, намена на посебен/заеднички дел од зграда СТ, внатрешна површина 75 м2, СОПСТВЕНОСТ</w:t>
      </w: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-број на катастарска парцела основен 12658, дел 0, адреса (улица и куќен број на зграда) ул.Речиште бр.82, број на зграда/друг објект 2, нам.на згр.преземан при конверзија на податоците од стариот ел.систем А5-1, влез 1, кат К1, број 1, намена на посебен/заеднички дел од зграда ПП, внатрешна површина 20 м2, СОПСТВЕНОСТ</w:t>
      </w:r>
    </w:p>
    <w:p w:rsidR="009575CD" w:rsidRPr="009575CD" w:rsidRDefault="009575CD" w:rsidP="009575CD">
      <w:pPr>
        <w:jc w:val="both"/>
        <w:rPr>
          <w:rFonts w:ascii="Arial" w:hAnsi="Arial" w:cs="Arial"/>
          <w:bCs/>
          <w:sz w:val="20"/>
          <w:szCs w:val="20"/>
          <w:lang w:val="mk-MK"/>
        </w:rPr>
      </w:pPr>
      <w:r w:rsidRPr="009575CD">
        <w:rPr>
          <w:rFonts w:ascii="Arial" w:hAnsi="Arial" w:cs="Arial"/>
          <w:bCs/>
          <w:sz w:val="20"/>
          <w:szCs w:val="20"/>
          <w:lang w:val="mk-MK"/>
        </w:rPr>
        <w:t>-број на катастарска парцела основен 12658, дел 0, адреса (улица и куќен број на зграда) ул.Речиште бр.82, број на зграда/друг објект 2, нам.на згр.преземан при конверзија на податоците од стариот ел.систем А5-1, влез 1, кат ПР, број 1, намена на посебен/заеднички дел од зграда Г, внатрешна површина 16 м2, СОПСТВЕНОСТ</w:t>
      </w:r>
    </w:p>
    <w:p w:rsidR="009575CD" w:rsidRPr="009575CD" w:rsidRDefault="009575CD" w:rsidP="009575CD">
      <w:pPr>
        <w:jc w:val="both"/>
        <w:rPr>
          <w:rFonts w:ascii="Arial" w:hAnsi="Arial" w:cs="Arial"/>
          <w:bCs/>
          <w:sz w:val="20"/>
          <w:szCs w:val="20"/>
          <w:lang w:val="mk-MK"/>
        </w:rPr>
      </w:pP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 xml:space="preserve">Продажбата ќе се одржи на ден </w:t>
      </w:r>
      <w:r w:rsidRPr="009575CD">
        <w:rPr>
          <w:rFonts w:ascii="Arial" w:hAnsi="Arial" w:cs="Arial"/>
          <w:b/>
          <w:sz w:val="20"/>
          <w:szCs w:val="20"/>
          <w:lang w:val="en-US"/>
        </w:rPr>
        <w:t>24.12.2025</w:t>
      </w:r>
      <w:r w:rsidRPr="009575CD">
        <w:rPr>
          <w:rFonts w:ascii="Arial" w:hAnsi="Arial" w:cs="Arial"/>
          <w:b/>
          <w:sz w:val="20"/>
          <w:szCs w:val="20"/>
          <w:lang w:val="mk-MK"/>
        </w:rPr>
        <w:t xml:space="preserve"> година во 1</w:t>
      </w:r>
      <w:r w:rsidRPr="009575CD">
        <w:rPr>
          <w:rFonts w:ascii="Arial" w:hAnsi="Arial" w:cs="Arial"/>
          <w:b/>
          <w:sz w:val="20"/>
          <w:szCs w:val="20"/>
          <w:lang w:val="en-US"/>
        </w:rPr>
        <w:t>0</w:t>
      </w:r>
      <w:r w:rsidRPr="009575CD">
        <w:rPr>
          <w:rFonts w:ascii="Arial" w:hAnsi="Arial" w:cs="Arial"/>
          <w:b/>
          <w:sz w:val="20"/>
          <w:szCs w:val="20"/>
          <w:lang w:val="mk-MK"/>
        </w:rPr>
        <w:t>:00 часот</w:t>
      </w:r>
      <w:r w:rsidRPr="009575CD">
        <w:rPr>
          <w:rFonts w:ascii="Arial" w:hAnsi="Arial" w:cs="Arial"/>
          <w:sz w:val="20"/>
          <w:szCs w:val="20"/>
          <w:lang w:val="mk-MK"/>
        </w:rPr>
        <w:t xml:space="preserve"> во просториите на извршител Дарко Топчов на ул.Народен Фронт бр.25/1-3 Скопје. </w:t>
      </w:r>
    </w:p>
    <w:p w:rsidR="009575CD" w:rsidRPr="009575CD" w:rsidRDefault="009575CD" w:rsidP="009575CD">
      <w:pPr>
        <w:jc w:val="both"/>
        <w:rPr>
          <w:rFonts w:ascii="Arial" w:hAnsi="Arial" w:cs="Arial"/>
          <w:b/>
          <w:sz w:val="20"/>
          <w:szCs w:val="20"/>
          <w:lang w:val="mk-MK"/>
        </w:rPr>
      </w:pPr>
      <w:r w:rsidRPr="009575CD">
        <w:rPr>
          <w:rFonts w:ascii="Arial" w:hAnsi="Arial" w:cs="Arial"/>
          <w:sz w:val="20"/>
          <w:szCs w:val="20"/>
          <w:lang w:val="mk-MK"/>
        </w:rPr>
        <w:t xml:space="preserve">Почетната вредност на недвижноста, утврдена со заклучок И.бр.597/2025 од 10.10.2025 година на извршителот Дарко Топчов од Скопје изнесуваше вкупно </w:t>
      </w:r>
      <w:r w:rsidRPr="009575CD">
        <w:rPr>
          <w:rFonts w:ascii="Arial" w:hAnsi="Arial" w:cs="Arial"/>
          <w:bCs/>
          <w:sz w:val="20"/>
          <w:szCs w:val="20"/>
          <w:lang w:val="mk-MK"/>
        </w:rPr>
        <w:t>82.643,00 евра</w:t>
      </w:r>
      <w:r w:rsidRPr="009575CD">
        <w:rPr>
          <w:rFonts w:ascii="Arial" w:hAnsi="Arial" w:cs="Arial"/>
          <w:b/>
          <w:bCs/>
          <w:sz w:val="20"/>
          <w:szCs w:val="20"/>
          <w:lang w:val="mk-MK"/>
        </w:rPr>
        <w:t xml:space="preserve"> </w:t>
      </w:r>
      <w:r w:rsidRPr="009575CD">
        <w:rPr>
          <w:rFonts w:ascii="Arial" w:hAnsi="Arial" w:cs="Arial"/>
          <w:bCs/>
          <w:sz w:val="20"/>
          <w:szCs w:val="20"/>
          <w:lang w:val="mk-MK"/>
        </w:rPr>
        <w:t>во денарска противвредност по среден курс на НБРСМ на денот на продажбата</w:t>
      </w:r>
      <w:r w:rsidRPr="009575CD">
        <w:rPr>
          <w:rFonts w:ascii="Arial" w:hAnsi="Arial" w:cs="Arial"/>
          <w:sz w:val="20"/>
          <w:szCs w:val="20"/>
          <w:lang w:val="mk-MK"/>
        </w:rPr>
        <w:t xml:space="preserve">, на втората јавна продажба по предлог на доверителот се </w:t>
      </w:r>
      <w:r w:rsidRPr="009575CD">
        <w:rPr>
          <w:rFonts w:ascii="Arial" w:hAnsi="Arial" w:cs="Arial"/>
          <w:sz w:val="20"/>
          <w:szCs w:val="20"/>
          <w:lang w:val="mk-MK"/>
        </w:rPr>
        <w:lastRenderedPageBreak/>
        <w:t xml:space="preserve">намалува за 1/3 и </w:t>
      </w:r>
      <w:r w:rsidRPr="009575CD">
        <w:rPr>
          <w:rFonts w:ascii="Arial" w:hAnsi="Arial" w:cs="Arial"/>
          <w:b/>
          <w:sz w:val="20"/>
          <w:szCs w:val="20"/>
          <w:lang w:val="mk-MK"/>
        </w:rPr>
        <w:t xml:space="preserve">се определува на износ од 55.095,00 евра </w:t>
      </w:r>
      <w:r w:rsidRPr="009575CD">
        <w:rPr>
          <w:rFonts w:ascii="Arial" w:hAnsi="Arial" w:cs="Arial"/>
          <w:b/>
          <w:bCs/>
          <w:sz w:val="20"/>
          <w:szCs w:val="20"/>
          <w:lang w:val="mk-MK"/>
        </w:rPr>
        <w:t>во денарска противвредност по среден курс на НБРСМ на денот на продажбата</w:t>
      </w:r>
      <w:r w:rsidRPr="009575CD">
        <w:rPr>
          <w:rFonts w:ascii="Arial" w:hAnsi="Arial" w:cs="Arial"/>
          <w:b/>
          <w:sz w:val="20"/>
          <w:szCs w:val="20"/>
          <w:lang w:val="mk-MK"/>
        </w:rPr>
        <w:t xml:space="preserve"> под која недвижноста не може да се продаде на второто јавно наддавање.</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Данокот на промет на недвижноста паѓа на товар на купувачот.</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Недвижноста е оптоварена со следните товари и службености:</w:t>
      </w:r>
      <w:r w:rsidRPr="009575CD">
        <w:rPr>
          <w:rFonts w:ascii="Arial" w:hAnsi="Arial" w:cs="Arial"/>
          <w:sz w:val="20"/>
          <w:szCs w:val="20"/>
          <w:lang w:val="en-US"/>
        </w:rPr>
        <w:t xml:space="preserve"> </w:t>
      </w:r>
      <w:r w:rsidRPr="009575CD">
        <w:rPr>
          <w:rFonts w:ascii="Arial" w:hAnsi="Arial" w:cs="Arial"/>
          <w:sz w:val="20"/>
          <w:szCs w:val="20"/>
          <w:lang w:val="mk-MK"/>
        </w:rPr>
        <w:t xml:space="preserve">право на залог (хипотека) од прв ред во корист на доверителот Андреј Тошевски, право на залог (хипотека) од втор ред во корист на доверителот Андреј Тошевски, право на реален товар во корист на доверителот Андреј Тошевски врз основа на Налог за извршување врз недвижност </w:t>
      </w:r>
      <w:r w:rsidRPr="009575CD">
        <w:rPr>
          <w:rFonts w:ascii="Arial" w:hAnsi="Arial" w:cs="Arial"/>
          <w:bCs/>
          <w:sz w:val="20"/>
          <w:szCs w:val="20"/>
          <w:lang w:val="mk-MK" w:eastAsia="mk-MK"/>
        </w:rPr>
        <w:t xml:space="preserve">И.бр.597/2025 од 17.09.2025 </w:t>
      </w:r>
      <w:r w:rsidRPr="009575CD">
        <w:rPr>
          <w:rFonts w:ascii="Arial" w:hAnsi="Arial" w:cs="Arial"/>
          <w:sz w:val="20"/>
          <w:szCs w:val="20"/>
          <w:lang w:val="mk-MK"/>
        </w:rPr>
        <w:t xml:space="preserve">година на извршител Дарко Топчов, право на реален товар во корист на доверителот Андреј Тошевски врз основа на Налог за извршување кај пристапување кон извршување </w:t>
      </w:r>
      <w:r w:rsidRPr="009575CD">
        <w:rPr>
          <w:rFonts w:ascii="Arial" w:hAnsi="Arial" w:cs="Arial"/>
          <w:bCs/>
          <w:sz w:val="20"/>
          <w:szCs w:val="20"/>
          <w:lang w:val="mk-MK" w:eastAsia="mk-MK"/>
        </w:rPr>
        <w:t xml:space="preserve">И.бр.598/2025 од 17.09.2025 </w:t>
      </w:r>
      <w:r w:rsidRPr="009575CD">
        <w:rPr>
          <w:rFonts w:ascii="Arial" w:hAnsi="Arial" w:cs="Arial"/>
          <w:sz w:val="20"/>
          <w:szCs w:val="20"/>
          <w:lang w:val="mk-MK"/>
        </w:rPr>
        <w:t xml:space="preserve">година на извршител Дарко Топчов, право на реален товар во корист на доверителот Али Фарха врз основа на Налог за извршување кај пристапување кон извршување </w:t>
      </w:r>
      <w:r w:rsidRPr="009575CD">
        <w:rPr>
          <w:rFonts w:ascii="Arial" w:hAnsi="Arial" w:cs="Arial"/>
          <w:bCs/>
          <w:sz w:val="20"/>
          <w:szCs w:val="20"/>
          <w:lang w:val="mk-MK" w:eastAsia="mk-MK"/>
        </w:rPr>
        <w:t xml:space="preserve">И.бр.701/2025 од 24.09.2025 </w:t>
      </w:r>
      <w:r w:rsidRPr="009575CD">
        <w:rPr>
          <w:rFonts w:ascii="Arial" w:hAnsi="Arial" w:cs="Arial"/>
          <w:sz w:val="20"/>
          <w:szCs w:val="20"/>
          <w:lang w:val="mk-MK"/>
        </w:rPr>
        <w:t xml:space="preserve">година на извршител Крум Коцарев и право на реален товар во корист на доверителот Димитар Радински врз основа на Налог за извршување кај пристапување кон извршување </w:t>
      </w:r>
      <w:r w:rsidRPr="009575CD">
        <w:rPr>
          <w:rFonts w:ascii="Arial" w:hAnsi="Arial" w:cs="Arial"/>
          <w:bCs/>
          <w:sz w:val="20"/>
          <w:szCs w:val="20"/>
          <w:lang w:val="mk-MK" w:eastAsia="mk-MK"/>
        </w:rPr>
        <w:t xml:space="preserve">И.бр.358/2025 од 03.10.2025 </w:t>
      </w:r>
      <w:r w:rsidRPr="009575CD">
        <w:rPr>
          <w:rFonts w:ascii="Arial" w:hAnsi="Arial" w:cs="Arial"/>
          <w:sz w:val="20"/>
          <w:szCs w:val="20"/>
          <w:lang w:val="mk-MK"/>
        </w:rPr>
        <w:t>година на извршител Анѓелка Ефкоска.</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9575CD">
        <w:rPr>
          <w:rFonts w:ascii="Arial" w:hAnsi="Arial" w:cs="Arial"/>
          <w:color w:val="00B050"/>
          <w:sz w:val="20"/>
          <w:szCs w:val="20"/>
          <w:lang w:val="mk-MK"/>
        </w:rPr>
        <w:t xml:space="preserve"> </w:t>
      </w:r>
      <w:r w:rsidRPr="009575CD">
        <w:rPr>
          <w:rFonts w:ascii="Arial" w:hAnsi="Arial" w:cs="Arial"/>
          <w:sz w:val="20"/>
          <w:szCs w:val="20"/>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Уплатата на паричните средства на име гаранција се врши на сметката од извршителот со бр.</w:t>
      </w:r>
      <w:r w:rsidRPr="009575CD">
        <w:rPr>
          <w:rFonts w:ascii="Arial" w:hAnsi="Arial" w:cs="Arial"/>
          <w:sz w:val="20"/>
          <w:szCs w:val="20"/>
          <w:lang w:val="ru-RU"/>
        </w:rPr>
        <w:t xml:space="preserve"> </w:t>
      </w:r>
      <w:r w:rsidRPr="009575CD">
        <w:rPr>
          <w:rFonts w:ascii="Arial" w:hAnsi="Arial" w:cs="Arial"/>
          <w:color w:val="000000"/>
          <w:sz w:val="20"/>
          <w:szCs w:val="20"/>
          <w:lang w:val="mk-MK" w:eastAsia="mk-MK"/>
        </w:rPr>
        <w:t>300000005262383</w:t>
      </w:r>
      <w:r w:rsidRPr="009575CD">
        <w:rPr>
          <w:rFonts w:ascii="Arial" w:hAnsi="Arial" w:cs="Arial"/>
          <w:sz w:val="20"/>
          <w:szCs w:val="20"/>
          <w:lang w:val="en-US"/>
        </w:rPr>
        <w:t xml:space="preserve"> </w:t>
      </w:r>
      <w:r w:rsidRPr="009575CD">
        <w:rPr>
          <w:rFonts w:ascii="Arial" w:hAnsi="Arial" w:cs="Arial"/>
          <w:sz w:val="20"/>
          <w:szCs w:val="20"/>
          <w:lang w:val="mk-MK"/>
        </w:rPr>
        <w:t xml:space="preserve">која се води кај </w:t>
      </w:r>
      <w:r w:rsidRPr="009575CD">
        <w:rPr>
          <w:rFonts w:ascii="Arial" w:hAnsi="Arial" w:cs="Arial"/>
          <w:color w:val="000000"/>
          <w:sz w:val="20"/>
          <w:szCs w:val="20"/>
          <w:lang w:val="mk-MK" w:eastAsia="mk-MK"/>
        </w:rPr>
        <w:t>Комерцијална Банка АД Скопје</w:t>
      </w:r>
      <w:r w:rsidRPr="009575CD">
        <w:rPr>
          <w:rFonts w:ascii="Arial" w:hAnsi="Arial" w:cs="Arial"/>
          <w:sz w:val="20"/>
          <w:szCs w:val="20"/>
          <w:lang w:val="mk-MK"/>
        </w:rPr>
        <w:t xml:space="preserve"> и даночен број </w:t>
      </w:r>
      <w:r w:rsidRPr="009575CD">
        <w:rPr>
          <w:rFonts w:ascii="Arial" w:hAnsi="Arial" w:cs="Arial"/>
          <w:color w:val="000000"/>
          <w:sz w:val="20"/>
          <w:szCs w:val="20"/>
          <w:lang w:val="mk-MK" w:eastAsia="mk-MK"/>
        </w:rPr>
        <w:t xml:space="preserve">МК5080025513551, со назнака гаранција за И.бр.597/2025, најдоцна до </w:t>
      </w:r>
      <w:r w:rsidRPr="009575CD">
        <w:rPr>
          <w:rFonts w:ascii="Arial" w:hAnsi="Arial" w:cs="Arial"/>
          <w:color w:val="000000"/>
          <w:sz w:val="20"/>
          <w:szCs w:val="20"/>
          <w:lang w:val="en-US" w:eastAsia="mk-MK"/>
        </w:rPr>
        <w:t>23.12.2025</w:t>
      </w:r>
      <w:r w:rsidRPr="009575CD">
        <w:rPr>
          <w:rFonts w:ascii="Arial" w:hAnsi="Arial" w:cs="Arial"/>
          <w:color w:val="000000"/>
          <w:sz w:val="20"/>
          <w:szCs w:val="20"/>
          <w:lang w:val="mk-MK" w:eastAsia="mk-MK"/>
        </w:rPr>
        <w:t xml:space="preserve"> година</w:t>
      </w:r>
      <w:r w:rsidRPr="009575CD">
        <w:rPr>
          <w:rFonts w:ascii="Arial" w:hAnsi="Arial" w:cs="Arial"/>
          <w:sz w:val="20"/>
          <w:szCs w:val="20"/>
          <w:lang w:val="en-US"/>
        </w:rPr>
        <w:t>.</w:t>
      </w:r>
      <w:r w:rsidRPr="009575CD">
        <w:rPr>
          <w:rFonts w:ascii="Arial" w:hAnsi="Arial" w:cs="Arial"/>
          <w:sz w:val="20"/>
          <w:szCs w:val="20"/>
          <w:lang w:val="mk-MK"/>
        </w:rPr>
        <w:t xml:space="preserve"> Доказ за извршена уплата на име гаранција е Извод од посебната сметка на извршителот.</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На понудувачите чија понуда не е прифатена, гаранцијата им се враќа веднаш по заклучувањето на јавното наддавање.</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Најповолниот понудувач-купувач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Овој заклучок ќе се објави во следните средства за јавно информирање: дневниот весник Нова Македонија</w:t>
      </w:r>
      <w:r w:rsidRPr="009575CD">
        <w:rPr>
          <w:rFonts w:ascii="Arial" w:hAnsi="Arial" w:cs="Arial"/>
          <w:sz w:val="20"/>
          <w:szCs w:val="20"/>
          <w:lang w:val="ru-RU"/>
        </w:rPr>
        <w:t xml:space="preserve"> и електронски на веб страницата на Комората на извршители</w:t>
      </w:r>
      <w:r w:rsidRPr="009575CD">
        <w:rPr>
          <w:rFonts w:ascii="Arial" w:hAnsi="Arial" w:cs="Arial"/>
          <w:sz w:val="20"/>
          <w:szCs w:val="20"/>
          <w:lang w:val="mk-MK"/>
        </w:rPr>
        <w:t>.</w:t>
      </w:r>
    </w:p>
    <w:p w:rsidR="009575CD" w:rsidRPr="009575CD" w:rsidRDefault="009575CD" w:rsidP="009575CD">
      <w:pPr>
        <w:jc w:val="both"/>
        <w:rPr>
          <w:rFonts w:ascii="Arial" w:hAnsi="Arial" w:cs="Arial"/>
          <w:sz w:val="20"/>
          <w:szCs w:val="20"/>
          <w:lang w:val="mk-MK"/>
        </w:rPr>
      </w:pPr>
      <w:r w:rsidRPr="009575CD">
        <w:rPr>
          <w:rFonts w:ascii="Arial" w:hAnsi="Arial" w:cs="Arial"/>
          <w:sz w:val="20"/>
          <w:szCs w:val="20"/>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9575CD" w:rsidRPr="009575CD" w:rsidRDefault="009575CD" w:rsidP="009575CD">
      <w:pPr>
        <w:jc w:val="both"/>
        <w:rPr>
          <w:rFonts w:ascii="Calibri" w:hAnsi="Calibri"/>
          <w:sz w:val="20"/>
          <w:szCs w:val="20"/>
          <w:lang w:val="mk-MK"/>
        </w:rPr>
      </w:pPr>
    </w:p>
    <w:p w:rsidR="009575CD" w:rsidRPr="009575CD" w:rsidRDefault="009575CD" w:rsidP="009575CD">
      <w:pPr>
        <w:ind w:left="6480" w:firstLine="720"/>
        <w:jc w:val="both"/>
        <w:rPr>
          <w:b/>
          <w:sz w:val="20"/>
          <w:szCs w:val="20"/>
          <w:lang w:val="mk-MK"/>
        </w:rPr>
      </w:pPr>
      <w:r>
        <w:rPr>
          <w:rFonts w:ascii="Arial" w:hAnsi="Arial" w:cs="Arial"/>
          <w:sz w:val="20"/>
          <w:szCs w:val="20"/>
          <w:lang w:val="mk-MK"/>
        </w:rPr>
        <w:t xml:space="preserve">   </w:t>
      </w:r>
      <w:r w:rsidRPr="009575CD">
        <w:rPr>
          <w:rFonts w:ascii="Arial" w:hAnsi="Arial" w:cs="Arial"/>
          <w:sz w:val="20"/>
          <w:szCs w:val="20"/>
          <w:lang w:val="mk-MK"/>
        </w:rPr>
        <w:t xml:space="preserve">  </w:t>
      </w:r>
      <w:r w:rsidRPr="009575CD">
        <w:rPr>
          <w:rFonts w:ascii="Arial" w:hAnsi="Arial" w:cs="Arial"/>
          <w:b/>
          <w:sz w:val="20"/>
          <w:szCs w:val="20"/>
          <w:lang w:val="mk-MK"/>
        </w:rPr>
        <w:t xml:space="preserve">Извршител                                       </w:t>
      </w:r>
    </w:p>
    <w:p w:rsidR="009575CD" w:rsidRPr="009575CD" w:rsidRDefault="009575CD" w:rsidP="009575CD">
      <w:pPr>
        <w:pStyle w:val="BodyText"/>
        <w:spacing w:line="360" w:lineRule="auto"/>
        <w:rPr>
          <w:rFonts w:ascii="Arial" w:hAnsi="Arial" w:cs="Arial"/>
          <w:b/>
          <w:sz w:val="20"/>
          <w:szCs w:val="20"/>
          <w:lang w:val="mk-MK"/>
        </w:rPr>
      </w:pPr>
      <w:r w:rsidRPr="009575CD">
        <w:rPr>
          <w:rFonts w:ascii="Arial" w:hAnsi="Arial" w:cs="Arial"/>
          <w:b/>
          <w:sz w:val="20"/>
          <w:szCs w:val="20"/>
        </w:rPr>
        <w:tab/>
      </w:r>
      <w:r w:rsidRPr="009575CD">
        <w:rPr>
          <w:rFonts w:ascii="Arial" w:hAnsi="Arial" w:cs="Arial"/>
          <w:b/>
          <w:sz w:val="20"/>
          <w:szCs w:val="20"/>
        </w:rPr>
        <w:tab/>
      </w:r>
      <w:r w:rsidRPr="009575CD">
        <w:rPr>
          <w:rFonts w:ascii="Arial" w:hAnsi="Arial" w:cs="Arial"/>
          <w:b/>
          <w:sz w:val="20"/>
          <w:szCs w:val="20"/>
        </w:rPr>
        <w:tab/>
      </w:r>
      <w:r w:rsidRPr="009575CD">
        <w:rPr>
          <w:rFonts w:ascii="Arial" w:hAnsi="Arial" w:cs="Arial"/>
          <w:b/>
          <w:sz w:val="20"/>
          <w:szCs w:val="20"/>
        </w:rPr>
        <w:tab/>
      </w:r>
      <w:r w:rsidRPr="009575CD">
        <w:rPr>
          <w:rFonts w:ascii="Arial" w:hAnsi="Arial" w:cs="Arial"/>
          <w:b/>
          <w:sz w:val="20"/>
          <w:szCs w:val="20"/>
        </w:rPr>
        <w:tab/>
      </w:r>
      <w:r w:rsidRPr="009575CD">
        <w:rPr>
          <w:rFonts w:ascii="Arial" w:hAnsi="Arial" w:cs="Arial"/>
          <w:b/>
          <w:sz w:val="20"/>
          <w:szCs w:val="20"/>
        </w:rPr>
        <w:tab/>
      </w:r>
      <w:r w:rsidRPr="009575CD">
        <w:rPr>
          <w:rFonts w:ascii="Arial" w:hAnsi="Arial" w:cs="Arial"/>
          <w:b/>
          <w:sz w:val="20"/>
          <w:szCs w:val="20"/>
        </w:rPr>
        <w:tab/>
      </w:r>
      <w:r w:rsidRPr="009575CD">
        <w:rPr>
          <w:rFonts w:ascii="Arial" w:hAnsi="Arial" w:cs="Arial"/>
          <w:b/>
          <w:sz w:val="20"/>
          <w:szCs w:val="20"/>
        </w:rPr>
        <w:tab/>
      </w:r>
      <w:r w:rsidRPr="009575CD">
        <w:rPr>
          <w:rFonts w:ascii="Arial" w:hAnsi="Arial" w:cs="Arial"/>
          <w:b/>
          <w:sz w:val="20"/>
          <w:szCs w:val="20"/>
        </w:rPr>
        <w:tab/>
        <w:t xml:space="preserve"> </w:t>
      </w:r>
      <w:r w:rsidRPr="009575CD">
        <w:rPr>
          <w:rFonts w:ascii="Arial" w:hAnsi="Arial" w:cs="Arial"/>
          <w:b/>
          <w:sz w:val="20"/>
          <w:szCs w:val="20"/>
          <w:lang w:val="mk-MK"/>
        </w:rPr>
        <w:t xml:space="preserve">  </w:t>
      </w:r>
      <w:r w:rsidRPr="009575CD">
        <w:rPr>
          <w:rFonts w:ascii="Arial" w:hAnsi="Arial" w:cs="Arial"/>
          <w:b/>
          <w:sz w:val="20"/>
          <w:szCs w:val="20"/>
        </w:rPr>
        <w:t xml:space="preserve"> </w:t>
      </w:r>
      <w:r w:rsidRPr="009575CD">
        <w:rPr>
          <w:rFonts w:ascii="Arial" w:hAnsi="Arial" w:cs="Arial"/>
          <w:b/>
          <w:sz w:val="20"/>
          <w:szCs w:val="20"/>
          <w:lang w:val="mk-MK"/>
        </w:rPr>
        <w:t xml:space="preserve">      </w:t>
      </w:r>
      <w:r w:rsidRPr="009575CD">
        <w:rPr>
          <w:rFonts w:ascii="Arial" w:hAnsi="Arial" w:cs="Arial"/>
          <w:b/>
          <w:sz w:val="20"/>
          <w:szCs w:val="20"/>
          <w:lang w:val="mk-MK"/>
        </w:rPr>
        <w:t xml:space="preserve">    </w:t>
      </w:r>
      <w:r w:rsidRPr="009575CD">
        <w:rPr>
          <w:rFonts w:ascii="Arial" w:hAnsi="Arial" w:cs="Arial"/>
          <w:b/>
          <w:sz w:val="20"/>
          <w:szCs w:val="20"/>
          <w:lang w:val="mk-MK"/>
        </w:rPr>
        <w:t xml:space="preserve"> Дарко Топчов</w:t>
      </w:r>
      <w:bookmarkStart w:id="0" w:name="_GoBack"/>
      <w:bookmarkEnd w:id="0"/>
    </w:p>
    <w:p w:rsidR="009575CD" w:rsidRPr="009575CD" w:rsidRDefault="009575CD" w:rsidP="009575CD">
      <w:pPr>
        <w:ind w:firstLine="720"/>
        <w:jc w:val="both"/>
        <w:rPr>
          <w:rFonts w:ascii="Arial" w:hAnsi="Arial" w:cs="Arial"/>
          <w:sz w:val="20"/>
          <w:szCs w:val="20"/>
          <w:lang w:val="mk-MK"/>
        </w:rPr>
      </w:pPr>
    </w:p>
    <w:p w:rsidR="00A00183" w:rsidRPr="009575CD" w:rsidRDefault="00A00183">
      <w:pPr>
        <w:rPr>
          <w:sz w:val="20"/>
          <w:szCs w:val="20"/>
        </w:rPr>
      </w:pPr>
    </w:p>
    <w:sectPr w:rsidR="00A00183" w:rsidRPr="009575CD" w:rsidSect="006971FC">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9D"/>
    <w:rsid w:val="009575CD"/>
    <w:rsid w:val="00A00183"/>
    <w:rsid w:val="00A3759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CD"/>
    <w:pPr>
      <w:spacing w:after="0" w:line="240" w:lineRule="auto"/>
    </w:pPr>
    <w:rPr>
      <w:rFonts w:ascii="MAC C Times" w:eastAsia="Times New Roman" w:hAnsi="MAC C Time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75CD"/>
    <w:pPr>
      <w:jc w:val="both"/>
    </w:pPr>
    <w:rPr>
      <w:lang w:val="en-US"/>
    </w:rPr>
  </w:style>
  <w:style w:type="character" w:customStyle="1" w:styleId="BodyTextChar">
    <w:name w:val="Body Text Char"/>
    <w:basedOn w:val="DefaultParagraphFont"/>
    <w:link w:val="BodyText"/>
    <w:rsid w:val="009575CD"/>
    <w:rPr>
      <w:rFonts w:ascii="MAC C Times" w:eastAsia="Times New Roman" w:hAnsi="MAC C Times" w:cs="Times New Roman"/>
      <w:sz w:val="24"/>
      <w:szCs w:val="24"/>
      <w:lang w:val="en-US"/>
    </w:rPr>
  </w:style>
  <w:style w:type="paragraph" w:styleId="BalloonText">
    <w:name w:val="Balloon Text"/>
    <w:basedOn w:val="Normal"/>
    <w:link w:val="BalloonTextChar"/>
    <w:uiPriority w:val="99"/>
    <w:semiHidden/>
    <w:unhideWhenUsed/>
    <w:rsid w:val="009575CD"/>
    <w:rPr>
      <w:rFonts w:ascii="Tahoma" w:hAnsi="Tahoma" w:cs="Tahoma"/>
      <w:sz w:val="16"/>
      <w:szCs w:val="16"/>
    </w:rPr>
  </w:style>
  <w:style w:type="character" w:customStyle="1" w:styleId="BalloonTextChar">
    <w:name w:val="Balloon Text Char"/>
    <w:basedOn w:val="DefaultParagraphFont"/>
    <w:link w:val="BalloonText"/>
    <w:uiPriority w:val="99"/>
    <w:semiHidden/>
    <w:rsid w:val="009575CD"/>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CD"/>
    <w:pPr>
      <w:spacing w:after="0" w:line="240" w:lineRule="auto"/>
    </w:pPr>
    <w:rPr>
      <w:rFonts w:ascii="MAC C Times" w:eastAsia="Times New Roman" w:hAnsi="MAC C Times"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75CD"/>
    <w:pPr>
      <w:jc w:val="both"/>
    </w:pPr>
    <w:rPr>
      <w:lang w:val="en-US"/>
    </w:rPr>
  </w:style>
  <w:style w:type="character" w:customStyle="1" w:styleId="BodyTextChar">
    <w:name w:val="Body Text Char"/>
    <w:basedOn w:val="DefaultParagraphFont"/>
    <w:link w:val="BodyText"/>
    <w:rsid w:val="009575CD"/>
    <w:rPr>
      <w:rFonts w:ascii="MAC C Times" w:eastAsia="Times New Roman" w:hAnsi="MAC C Times" w:cs="Times New Roman"/>
      <w:sz w:val="24"/>
      <w:szCs w:val="24"/>
      <w:lang w:val="en-US"/>
    </w:rPr>
  </w:style>
  <w:style w:type="paragraph" w:styleId="BalloonText">
    <w:name w:val="Balloon Text"/>
    <w:basedOn w:val="Normal"/>
    <w:link w:val="BalloonTextChar"/>
    <w:uiPriority w:val="99"/>
    <w:semiHidden/>
    <w:unhideWhenUsed/>
    <w:rsid w:val="009575CD"/>
    <w:rPr>
      <w:rFonts w:ascii="Tahoma" w:hAnsi="Tahoma" w:cs="Tahoma"/>
      <w:sz w:val="16"/>
      <w:szCs w:val="16"/>
    </w:rPr>
  </w:style>
  <w:style w:type="character" w:customStyle="1" w:styleId="BalloonTextChar">
    <w:name w:val="Balloon Text Char"/>
    <w:basedOn w:val="DefaultParagraphFont"/>
    <w:link w:val="BalloonText"/>
    <w:uiPriority w:val="99"/>
    <w:semiHidden/>
    <w:rsid w:val="009575C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2025-11-29T19:20:00Z</dcterms:created>
  <dcterms:modified xsi:type="dcterms:W3CDTF">2025-11-29T19:24:00Z</dcterms:modified>
</cp:coreProperties>
</file>