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bookmarkStart w:id="0" w:name="_GoBack"/>
            <w:bookmarkEnd w:id="0"/>
            <w:r w:rsidRPr="00906E3F">
              <w:rPr>
                <w:rFonts w:ascii="Arial" w:hAnsi="Arial" w:cs="Arial"/>
                <w:b/>
                <w:noProof/>
                <w:sz w:val="20"/>
                <w:szCs w:val="20"/>
                <w:lang w:eastAsia="mk-MK"/>
              </w:rPr>
              <w:drawing>
                <wp:inline distT="0" distB="0" distL="0" distR="0">
                  <wp:extent cx="361950" cy="428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И З В Р Ш И Т Е Л</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hideMark/>
          </w:tcPr>
          <w:p w:rsidR="00D7563C" w:rsidRPr="00906E3F" w:rsidRDefault="00D7563C" w:rsidP="005A747A">
            <w:pPr>
              <w:tabs>
                <w:tab w:val="center" w:pos="2268"/>
              </w:tabs>
              <w:rPr>
                <w:rFonts w:ascii="Arial" w:hAnsi="Arial" w:cs="Arial"/>
                <w:b/>
                <w:sz w:val="20"/>
                <w:szCs w:val="20"/>
                <w:lang w:val="en-US"/>
              </w:rPr>
            </w:pPr>
            <w:r w:rsidRPr="00906E3F">
              <w:rPr>
                <w:rFonts w:ascii="Arial" w:hAnsi="Arial" w:cs="Arial"/>
                <w:b/>
                <w:sz w:val="20"/>
                <w:szCs w:val="20"/>
                <w:lang w:val="ru-RU"/>
              </w:rPr>
              <w:t>Образец бр.</w:t>
            </w:r>
            <w:r w:rsidRPr="00906E3F">
              <w:rPr>
                <w:rFonts w:ascii="Arial" w:hAnsi="Arial" w:cs="Arial"/>
                <w:b/>
                <w:sz w:val="20"/>
                <w:szCs w:val="20"/>
                <w:lang w:val="en-US"/>
              </w:rPr>
              <w:t>66</w:t>
            </w: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Чедомир Личковски</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именуван за подрачјето на</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Основните судови Гостивар и</w:t>
            </w:r>
            <w:r w:rsidRPr="00906E3F">
              <w:rPr>
                <w:sz w:val="20"/>
                <w:szCs w:val="20"/>
                <w:lang w:val="ru-RU"/>
              </w:rPr>
              <w:t xml:space="preserve"> </w:t>
            </w:r>
            <w:r w:rsidRPr="00906E3F">
              <w:rPr>
                <w:rFonts w:ascii="Arial" w:hAnsi="Arial" w:cs="Arial"/>
                <w:b/>
                <w:sz w:val="20"/>
                <w:szCs w:val="20"/>
              </w:rPr>
              <w:t>Кичево</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hideMark/>
          </w:tcPr>
          <w:p w:rsidR="00D7563C" w:rsidRPr="00906E3F" w:rsidRDefault="00D7563C" w:rsidP="005A747A">
            <w:pPr>
              <w:tabs>
                <w:tab w:val="center" w:pos="2268"/>
              </w:tabs>
              <w:rPr>
                <w:rFonts w:ascii="Arial" w:hAnsi="Arial" w:cs="Arial"/>
                <w:b/>
                <w:sz w:val="20"/>
                <w:szCs w:val="20"/>
                <w:lang w:val="ru-RU"/>
              </w:rPr>
            </w:pPr>
            <w:r w:rsidRPr="00906E3F">
              <w:rPr>
                <w:rFonts w:ascii="Arial" w:hAnsi="Arial" w:cs="Arial"/>
                <w:b/>
                <w:sz w:val="20"/>
                <w:szCs w:val="20"/>
                <w:lang w:val="ru-RU"/>
              </w:rPr>
              <w:t>И.бр.1278/22</w:t>
            </w:r>
          </w:p>
        </w:tc>
      </w:tr>
      <w:tr w:rsidR="00D7563C" w:rsidRPr="00906E3F" w:rsidTr="005A747A">
        <w:tc>
          <w:tcPr>
            <w:tcW w:w="6008" w:type="dxa"/>
            <w:hideMark/>
          </w:tcPr>
          <w:p w:rsidR="00D7563C" w:rsidRPr="00906E3F" w:rsidRDefault="00906E3F" w:rsidP="005A747A">
            <w:pPr>
              <w:rPr>
                <w:sz w:val="20"/>
                <w:szCs w:val="20"/>
                <w:lang w:val="en-US"/>
              </w:rPr>
            </w:pPr>
            <w:r>
              <w:rPr>
                <w:rFonts w:ascii="Arial" w:hAnsi="Arial" w:cs="Arial"/>
                <w:b/>
                <w:sz w:val="20"/>
                <w:szCs w:val="20"/>
                <w:lang w:val="ru-RU"/>
              </w:rPr>
              <w:t xml:space="preserve">                     </w:t>
            </w:r>
            <w:r w:rsidRPr="00906E3F">
              <w:rPr>
                <w:rFonts w:ascii="Arial" w:hAnsi="Arial" w:cs="Arial"/>
                <w:b/>
                <w:sz w:val="20"/>
                <w:szCs w:val="20"/>
                <w:lang w:val="ru-RU"/>
              </w:rPr>
              <w:t>ул.Мајор Чеде Филиповски бр.2</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906E3F" w:rsidP="005A747A">
            <w:pPr>
              <w:tabs>
                <w:tab w:val="center" w:pos="2268"/>
              </w:tabs>
              <w:jc w:val="center"/>
              <w:rPr>
                <w:rFonts w:ascii="Arial" w:hAnsi="Arial" w:cs="Arial"/>
                <w:b/>
                <w:sz w:val="20"/>
                <w:szCs w:val="20"/>
                <w:lang w:val="ru-RU"/>
              </w:rPr>
            </w:pPr>
            <w:r w:rsidRPr="00906E3F">
              <w:rPr>
                <w:rFonts w:ascii="Arial" w:hAnsi="Arial" w:cs="Arial"/>
                <w:b/>
                <w:sz w:val="20"/>
                <w:szCs w:val="20"/>
                <w:lang w:val="ru-RU"/>
              </w:rPr>
              <w:t xml:space="preserve">тел.042/221-888 и </w:t>
            </w:r>
            <w:r w:rsidRPr="00906E3F">
              <w:rPr>
                <w:rFonts w:ascii="Arial" w:hAnsi="Arial" w:cs="Arial"/>
                <w:b/>
                <w:sz w:val="20"/>
                <w:szCs w:val="20"/>
              </w:rPr>
              <w:t>078 354 304</w:t>
            </w: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tabs>
                <w:tab w:val="center" w:pos="2268"/>
              </w:tabs>
              <w:jc w:val="center"/>
              <w:rPr>
                <w:rFonts w:ascii="Arial" w:hAnsi="Arial" w:cs="Arial"/>
                <w:b/>
                <w:sz w:val="20"/>
                <w:szCs w:val="20"/>
                <w:lang w:val="ru-RU"/>
              </w:rPr>
            </w:pP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r w:rsidR="00D7563C" w:rsidRPr="00906E3F" w:rsidTr="005A747A">
        <w:tc>
          <w:tcPr>
            <w:tcW w:w="6008" w:type="dxa"/>
            <w:hideMark/>
          </w:tcPr>
          <w:p w:rsidR="00D7563C" w:rsidRPr="00906E3F" w:rsidRDefault="00D7563C" w:rsidP="005A747A">
            <w:pPr>
              <w:rPr>
                <w:sz w:val="20"/>
                <w:szCs w:val="20"/>
                <w:lang w:val="en-US"/>
              </w:rPr>
            </w:pPr>
          </w:p>
        </w:tc>
        <w:tc>
          <w:tcPr>
            <w:tcW w:w="549" w:type="dxa"/>
          </w:tcPr>
          <w:p w:rsidR="00D7563C" w:rsidRPr="00906E3F" w:rsidRDefault="00D7563C" w:rsidP="005A747A">
            <w:pPr>
              <w:tabs>
                <w:tab w:val="center" w:pos="2268"/>
              </w:tabs>
              <w:rPr>
                <w:rFonts w:ascii="Arial" w:hAnsi="Arial" w:cs="Arial"/>
                <w:b/>
                <w:sz w:val="20"/>
                <w:szCs w:val="20"/>
                <w:lang w:val="ru-RU"/>
              </w:rPr>
            </w:pPr>
          </w:p>
        </w:tc>
        <w:tc>
          <w:tcPr>
            <w:tcW w:w="956" w:type="dxa"/>
          </w:tcPr>
          <w:p w:rsidR="00D7563C" w:rsidRPr="00906E3F" w:rsidRDefault="00D7563C" w:rsidP="005A747A">
            <w:pPr>
              <w:tabs>
                <w:tab w:val="center" w:pos="2268"/>
              </w:tabs>
              <w:rPr>
                <w:rFonts w:ascii="Arial" w:hAnsi="Arial" w:cs="Arial"/>
                <w:b/>
                <w:sz w:val="20"/>
                <w:szCs w:val="20"/>
                <w:lang w:val="ru-RU"/>
              </w:rPr>
            </w:pPr>
          </w:p>
        </w:tc>
        <w:tc>
          <w:tcPr>
            <w:tcW w:w="2908" w:type="dxa"/>
          </w:tcPr>
          <w:p w:rsidR="00D7563C" w:rsidRPr="00906E3F" w:rsidRDefault="00D7563C" w:rsidP="005A747A">
            <w:pPr>
              <w:tabs>
                <w:tab w:val="center" w:pos="2268"/>
              </w:tabs>
              <w:rPr>
                <w:rFonts w:ascii="Arial" w:hAnsi="Arial" w:cs="Arial"/>
                <w:b/>
                <w:sz w:val="20"/>
                <w:szCs w:val="20"/>
                <w:lang w:val="ru-RU"/>
              </w:rPr>
            </w:pPr>
          </w:p>
        </w:tc>
      </w:tr>
    </w:tbl>
    <w:p w:rsidR="00D7563C" w:rsidRPr="00906E3F" w:rsidRDefault="00D7563C" w:rsidP="00D7563C">
      <w:pPr>
        <w:ind w:firstLine="720"/>
        <w:rPr>
          <w:rFonts w:ascii="Arial" w:hAnsi="Arial" w:cs="Arial"/>
          <w:sz w:val="20"/>
          <w:szCs w:val="20"/>
        </w:rPr>
      </w:pPr>
      <w:r w:rsidRPr="00906E3F">
        <w:rPr>
          <w:rFonts w:ascii="Arial" w:hAnsi="Arial" w:cs="Arial"/>
          <w:sz w:val="20"/>
          <w:szCs w:val="20"/>
        </w:rPr>
        <w:t xml:space="preserve">Извршителот </w:t>
      </w:r>
      <w:proofErr w:type="spellStart"/>
      <w:r w:rsidRPr="00906E3F">
        <w:rPr>
          <w:rFonts w:ascii="Arial" w:hAnsi="Arial" w:cs="Arial"/>
          <w:b/>
          <w:bCs/>
          <w:color w:val="000000"/>
          <w:sz w:val="20"/>
          <w:szCs w:val="20"/>
          <w:lang w:val="en-US"/>
        </w:rPr>
        <w:t>Чедомир</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Личковски</w:t>
      </w:r>
      <w:proofErr w:type="spellEnd"/>
      <w:r w:rsidRPr="00906E3F">
        <w:rPr>
          <w:rFonts w:ascii="Arial" w:hAnsi="Arial" w:cs="Arial"/>
          <w:sz w:val="20"/>
          <w:szCs w:val="20"/>
        </w:rPr>
        <w:t xml:space="preserve"> од </w:t>
      </w:r>
      <w:proofErr w:type="spellStart"/>
      <w:r w:rsidRPr="00906E3F">
        <w:rPr>
          <w:rFonts w:ascii="Arial" w:hAnsi="Arial" w:cs="Arial"/>
          <w:b/>
          <w:bCs/>
          <w:color w:val="000000"/>
          <w:sz w:val="20"/>
          <w:szCs w:val="20"/>
          <w:lang w:val="en-US"/>
        </w:rPr>
        <w:t>Гостивар</w:t>
      </w:r>
      <w:proofErr w:type="spellEnd"/>
      <w:r w:rsidRPr="00906E3F">
        <w:rPr>
          <w:rFonts w:ascii="Arial" w:hAnsi="Arial" w:cs="Arial"/>
          <w:sz w:val="20"/>
          <w:szCs w:val="20"/>
        </w:rPr>
        <w:t xml:space="preserve"> врз основа на барањето за спроведување на извршување од доверителот </w:t>
      </w:r>
      <w:r w:rsidRPr="00906E3F">
        <w:rPr>
          <w:rFonts w:ascii="Arial" w:hAnsi="Arial" w:cs="Arial"/>
          <w:b/>
          <w:bCs/>
          <w:color w:val="000000"/>
          <w:sz w:val="20"/>
          <w:szCs w:val="20"/>
          <w:lang w:val="en-US"/>
        </w:rPr>
        <w:t>ШПАРКАСЕ  БАНКА  АД СКОПЈЕ</w:t>
      </w:r>
      <w:r w:rsidRPr="00906E3F">
        <w:rPr>
          <w:rFonts w:ascii="Arial" w:hAnsi="Arial" w:cs="Arial"/>
          <w:sz w:val="20"/>
          <w:szCs w:val="20"/>
        </w:rPr>
        <w:t xml:space="preserve"> од </w:t>
      </w:r>
      <w:proofErr w:type="spellStart"/>
      <w:r w:rsidRPr="00906E3F">
        <w:rPr>
          <w:rFonts w:ascii="Arial" w:hAnsi="Arial" w:cs="Arial"/>
          <w:color w:val="000000"/>
          <w:sz w:val="20"/>
          <w:szCs w:val="20"/>
          <w:lang w:val="en-US"/>
        </w:rPr>
        <w:t>Скопје</w:t>
      </w:r>
      <w:proofErr w:type="spellEnd"/>
      <w:r w:rsidRPr="00906E3F">
        <w:rPr>
          <w:rFonts w:ascii="Arial" w:hAnsi="Arial" w:cs="Arial"/>
          <w:sz w:val="20"/>
          <w:szCs w:val="20"/>
        </w:rPr>
        <w:t xml:space="preserve"> со ЕМБГ/ ЕМБС/ ЕДБ </w:t>
      </w:r>
      <w:r w:rsidR="00906E3F">
        <w:rPr>
          <w:rFonts w:ascii="Arial" w:hAnsi="Arial" w:cs="Arial"/>
          <w:color w:val="000000"/>
          <w:sz w:val="20"/>
          <w:szCs w:val="20"/>
        </w:rPr>
        <w:t>////</w:t>
      </w:r>
      <w:r w:rsidRPr="00906E3F">
        <w:rPr>
          <w:rFonts w:ascii="Arial" w:hAnsi="Arial" w:cs="Arial"/>
          <w:sz w:val="20"/>
          <w:szCs w:val="20"/>
        </w:rPr>
        <w:t xml:space="preserve"> и живеалиште/ престојувалиште/ седиште на </w:t>
      </w:r>
      <w:proofErr w:type="spellStart"/>
      <w:r w:rsidRPr="00906E3F">
        <w:rPr>
          <w:rFonts w:ascii="Arial" w:hAnsi="Arial" w:cs="Arial"/>
          <w:color w:val="000000"/>
          <w:sz w:val="20"/>
          <w:szCs w:val="20"/>
          <w:lang w:val="en-US"/>
        </w:rPr>
        <w:t>ул.Орце</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Николов</w:t>
      </w:r>
      <w:proofErr w:type="spellEnd"/>
      <w:r w:rsidRPr="00906E3F">
        <w:rPr>
          <w:rFonts w:ascii="Arial" w:hAnsi="Arial" w:cs="Arial"/>
          <w:color w:val="000000"/>
          <w:sz w:val="20"/>
          <w:szCs w:val="20"/>
          <w:lang w:val="en-US"/>
        </w:rPr>
        <w:t xml:space="preserve"> бр.54</w:t>
      </w:r>
      <w:r w:rsidRPr="00906E3F">
        <w:rPr>
          <w:rFonts w:ascii="Arial" w:hAnsi="Arial" w:cs="Arial"/>
          <w:sz w:val="20"/>
          <w:szCs w:val="20"/>
        </w:rPr>
        <w:t xml:space="preserve">, засновано на извршната исправа </w:t>
      </w:r>
      <w:r w:rsidRPr="00906E3F">
        <w:rPr>
          <w:rFonts w:ascii="Arial" w:hAnsi="Arial" w:cs="Arial"/>
          <w:color w:val="000000"/>
          <w:sz w:val="20"/>
          <w:szCs w:val="20"/>
          <w:lang w:val="en-US"/>
        </w:rPr>
        <w:t>ОДУ.бр.1812/18</w:t>
      </w:r>
      <w:r w:rsidRPr="00906E3F">
        <w:rPr>
          <w:rFonts w:ascii="Arial" w:hAnsi="Arial" w:cs="Arial"/>
          <w:sz w:val="20"/>
          <w:szCs w:val="20"/>
        </w:rPr>
        <w:t xml:space="preserve"> од </w:t>
      </w:r>
      <w:r w:rsidRPr="00906E3F">
        <w:rPr>
          <w:rFonts w:ascii="Arial" w:hAnsi="Arial" w:cs="Arial"/>
          <w:color w:val="000000"/>
          <w:sz w:val="20"/>
          <w:szCs w:val="20"/>
          <w:lang w:val="en-US"/>
        </w:rPr>
        <w:t>06.12.2018</w:t>
      </w:r>
      <w:r w:rsidRPr="00906E3F">
        <w:rPr>
          <w:rFonts w:ascii="Arial" w:hAnsi="Arial" w:cs="Arial"/>
          <w:sz w:val="20"/>
          <w:szCs w:val="20"/>
        </w:rPr>
        <w:t xml:space="preserve"> на </w:t>
      </w:r>
      <w:proofErr w:type="spellStart"/>
      <w:r w:rsidRPr="00906E3F">
        <w:rPr>
          <w:rFonts w:ascii="Arial" w:hAnsi="Arial" w:cs="Arial"/>
          <w:color w:val="000000"/>
          <w:sz w:val="20"/>
          <w:szCs w:val="20"/>
          <w:lang w:val="en-US"/>
        </w:rPr>
        <w:t>нотар</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Башким</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Елези</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од</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Гостивар</w:t>
      </w:r>
      <w:proofErr w:type="spellEnd"/>
      <w:r w:rsidRPr="00906E3F">
        <w:rPr>
          <w:rFonts w:ascii="Arial" w:hAnsi="Arial" w:cs="Arial"/>
          <w:sz w:val="20"/>
          <w:szCs w:val="20"/>
        </w:rPr>
        <w:t xml:space="preserve">, против должникот </w:t>
      </w:r>
      <w:proofErr w:type="spellStart"/>
      <w:r w:rsidRPr="00906E3F">
        <w:rPr>
          <w:rFonts w:ascii="Arial" w:hAnsi="Arial" w:cs="Arial"/>
          <w:b/>
          <w:bCs/>
          <w:color w:val="000000"/>
          <w:sz w:val="20"/>
          <w:szCs w:val="20"/>
          <w:lang w:val="en-US"/>
        </w:rPr>
        <w:t>Друштво</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за</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градежништво</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проектирање</w:t>
      </w:r>
      <w:proofErr w:type="spellEnd"/>
      <w:r w:rsidRPr="00906E3F">
        <w:rPr>
          <w:rFonts w:ascii="Arial" w:hAnsi="Arial" w:cs="Arial"/>
          <w:b/>
          <w:bCs/>
          <w:color w:val="000000"/>
          <w:sz w:val="20"/>
          <w:szCs w:val="20"/>
          <w:lang w:val="en-US"/>
        </w:rPr>
        <w:t xml:space="preserve">, </w:t>
      </w:r>
      <w:proofErr w:type="spellStart"/>
      <w:r w:rsidRPr="00906E3F">
        <w:rPr>
          <w:rFonts w:ascii="Arial" w:hAnsi="Arial" w:cs="Arial"/>
          <w:b/>
          <w:bCs/>
          <w:color w:val="000000"/>
          <w:sz w:val="20"/>
          <w:szCs w:val="20"/>
          <w:lang w:val="en-US"/>
        </w:rPr>
        <w:t>инженеринг</w:t>
      </w:r>
      <w:proofErr w:type="spellEnd"/>
      <w:r w:rsidRPr="00906E3F">
        <w:rPr>
          <w:rFonts w:ascii="Arial" w:hAnsi="Arial" w:cs="Arial"/>
          <w:b/>
          <w:bCs/>
          <w:color w:val="000000"/>
          <w:sz w:val="20"/>
          <w:szCs w:val="20"/>
          <w:lang w:val="en-US"/>
        </w:rPr>
        <w:t xml:space="preserve"> и </w:t>
      </w:r>
      <w:proofErr w:type="spellStart"/>
      <w:r w:rsidRPr="00906E3F">
        <w:rPr>
          <w:rFonts w:ascii="Arial" w:hAnsi="Arial" w:cs="Arial"/>
          <w:b/>
          <w:bCs/>
          <w:color w:val="000000"/>
          <w:sz w:val="20"/>
          <w:szCs w:val="20"/>
          <w:lang w:val="en-US"/>
        </w:rPr>
        <w:t>трговија</w:t>
      </w:r>
      <w:proofErr w:type="spellEnd"/>
      <w:r w:rsidRPr="00906E3F">
        <w:rPr>
          <w:rFonts w:ascii="Arial" w:hAnsi="Arial" w:cs="Arial"/>
          <w:b/>
          <w:bCs/>
          <w:color w:val="000000"/>
          <w:sz w:val="20"/>
          <w:szCs w:val="20"/>
          <w:lang w:val="en-US"/>
        </w:rPr>
        <w:t xml:space="preserve"> АГРАМ КОНСТРАКШАН ДООЕЛ </w:t>
      </w:r>
      <w:proofErr w:type="spellStart"/>
      <w:r w:rsidRPr="00906E3F">
        <w:rPr>
          <w:rFonts w:ascii="Arial" w:hAnsi="Arial" w:cs="Arial"/>
          <w:b/>
          <w:bCs/>
          <w:color w:val="000000"/>
          <w:sz w:val="20"/>
          <w:szCs w:val="20"/>
          <w:lang w:val="en-US"/>
        </w:rPr>
        <w:t>Гостивар</w:t>
      </w:r>
      <w:proofErr w:type="spellEnd"/>
      <w:r w:rsidRPr="00906E3F">
        <w:rPr>
          <w:rFonts w:ascii="Arial" w:hAnsi="Arial" w:cs="Arial"/>
          <w:sz w:val="20"/>
          <w:szCs w:val="20"/>
        </w:rPr>
        <w:t xml:space="preserve"> од </w:t>
      </w:r>
      <w:proofErr w:type="spellStart"/>
      <w:r w:rsidRPr="00906E3F">
        <w:rPr>
          <w:rFonts w:ascii="Arial" w:hAnsi="Arial" w:cs="Arial"/>
          <w:color w:val="000000"/>
          <w:sz w:val="20"/>
          <w:szCs w:val="20"/>
          <w:lang w:val="en-US"/>
        </w:rPr>
        <w:t>Гостивар</w:t>
      </w:r>
      <w:proofErr w:type="spellEnd"/>
      <w:r w:rsidRPr="00906E3F">
        <w:rPr>
          <w:rFonts w:ascii="Arial" w:hAnsi="Arial" w:cs="Arial"/>
          <w:sz w:val="20"/>
          <w:szCs w:val="20"/>
        </w:rPr>
        <w:t xml:space="preserve"> со ЕМБГ/ ЕМБС/ ЕДБ  </w:t>
      </w:r>
      <w:r w:rsidR="00906E3F">
        <w:rPr>
          <w:rFonts w:ascii="Arial" w:hAnsi="Arial" w:cs="Arial"/>
          <w:color w:val="000000"/>
          <w:sz w:val="20"/>
          <w:szCs w:val="20"/>
        </w:rPr>
        <w:t>///</w:t>
      </w:r>
      <w:r w:rsidRPr="00906E3F">
        <w:rPr>
          <w:rFonts w:ascii="Arial" w:hAnsi="Arial" w:cs="Arial"/>
          <w:sz w:val="20"/>
          <w:szCs w:val="20"/>
        </w:rPr>
        <w:t xml:space="preserve"> и живеалиште/ престојувалиште/ седиште на </w:t>
      </w:r>
      <w:proofErr w:type="spellStart"/>
      <w:r w:rsidRPr="00906E3F">
        <w:rPr>
          <w:rFonts w:ascii="Arial" w:hAnsi="Arial" w:cs="Arial"/>
          <w:color w:val="000000"/>
          <w:sz w:val="20"/>
          <w:szCs w:val="20"/>
          <w:lang w:val="en-US"/>
        </w:rPr>
        <w:t>ул.Живко</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Брајковски</w:t>
      </w:r>
      <w:proofErr w:type="spellEnd"/>
      <w:r w:rsidRPr="00906E3F">
        <w:rPr>
          <w:rFonts w:ascii="Arial" w:hAnsi="Arial" w:cs="Arial"/>
          <w:color w:val="000000"/>
          <w:sz w:val="20"/>
          <w:szCs w:val="20"/>
          <w:lang w:val="en-US"/>
        </w:rPr>
        <w:t xml:space="preserve"> бр.15</w:t>
      </w:r>
      <w:r w:rsidRPr="00906E3F">
        <w:rPr>
          <w:rFonts w:ascii="Arial" w:hAnsi="Arial" w:cs="Arial"/>
          <w:sz w:val="20"/>
          <w:szCs w:val="20"/>
        </w:rPr>
        <w:t xml:space="preserve">, и </w:t>
      </w:r>
      <w:r w:rsidRPr="00906E3F">
        <w:rPr>
          <w:rFonts w:ascii="Arial" w:hAnsi="Arial" w:cs="Arial"/>
          <w:b/>
          <w:bCs/>
          <w:color w:val="000000"/>
          <w:sz w:val="20"/>
          <w:szCs w:val="20"/>
          <w:lang w:eastAsia="mk-MK"/>
        </w:rPr>
        <w:t>Лирија Саллмани</w:t>
      </w:r>
      <w:r w:rsidRPr="00906E3F">
        <w:rPr>
          <w:rFonts w:ascii="Arial" w:hAnsi="Arial" w:cs="Arial"/>
          <w:bCs/>
          <w:color w:val="000000"/>
          <w:sz w:val="20"/>
          <w:szCs w:val="20"/>
          <w:lang w:eastAsia="mk-MK"/>
        </w:rPr>
        <w:t xml:space="preserve"> од Гостивар, со ЕМБГ </w:t>
      </w:r>
      <w:r w:rsidR="00906E3F">
        <w:rPr>
          <w:rFonts w:ascii="Arial" w:hAnsi="Arial" w:cs="Arial"/>
          <w:bCs/>
          <w:color w:val="000000"/>
          <w:sz w:val="20"/>
          <w:szCs w:val="20"/>
          <w:lang w:eastAsia="mk-MK"/>
        </w:rPr>
        <w:t xml:space="preserve">/// </w:t>
      </w:r>
      <w:r w:rsidRPr="00906E3F">
        <w:rPr>
          <w:rFonts w:ascii="Arial" w:hAnsi="Arial" w:cs="Arial"/>
          <w:bCs/>
          <w:color w:val="000000"/>
          <w:sz w:val="20"/>
          <w:szCs w:val="20"/>
          <w:lang w:eastAsia="mk-MK"/>
        </w:rPr>
        <w:t>и живеалиште на ул.Илинденска бр.123/2,</w:t>
      </w:r>
      <w:r w:rsidRPr="00906E3F">
        <w:rPr>
          <w:rFonts w:ascii="Arial" w:hAnsi="Arial" w:cs="Arial"/>
          <w:sz w:val="20"/>
          <w:szCs w:val="20"/>
        </w:rPr>
        <w:t xml:space="preserve"> за спроведување на извршување во вредност </w:t>
      </w:r>
      <w:r w:rsidRPr="00906E3F">
        <w:rPr>
          <w:rFonts w:ascii="Arial" w:hAnsi="Arial" w:cs="Arial"/>
          <w:color w:val="000000"/>
          <w:sz w:val="20"/>
          <w:szCs w:val="20"/>
          <w:lang w:val="en-US"/>
        </w:rPr>
        <w:t xml:space="preserve">3.024.615,00 </w:t>
      </w:r>
      <w:proofErr w:type="spellStart"/>
      <w:r w:rsidRPr="00906E3F">
        <w:rPr>
          <w:rFonts w:ascii="Arial" w:hAnsi="Arial" w:cs="Arial"/>
          <w:color w:val="000000"/>
          <w:sz w:val="20"/>
          <w:szCs w:val="20"/>
          <w:lang w:val="en-US"/>
        </w:rPr>
        <w:t>ден</w:t>
      </w:r>
      <w:proofErr w:type="spellEnd"/>
      <w:r w:rsidRPr="00906E3F">
        <w:rPr>
          <w:rFonts w:ascii="Arial" w:hAnsi="Arial" w:cs="Arial"/>
          <w:color w:val="000000"/>
          <w:sz w:val="20"/>
          <w:szCs w:val="20"/>
          <w:lang w:val="en-US"/>
        </w:rPr>
        <w:t>.</w:t>
      </w:r>
      <w:r w:rsidRPr="00906E3F">
        <w:rPr>
          <w:rFonts w:ascii="Arial" w:hAnsi="Arial" w:cs="Arial"/>
          <w:sz w:val="20"/>
          <w:szCs w:val="20"/>
        </w:rPr>
        <w:t xml:space="preserve">, на ден </w:t>
      </w:r>
      <w:r w:rsidRPr="00906E3F">
        <w:rPr>
          <w:rFonts w:ascii="Arial" w:hAnsi="Arial" w:cs="Arial"/>
          <w:sz w:val="20"/>
          <w:szCs w:val="20"/>
          <w:lang w:val="en-US"/>
        </w:rPr>
        <w:t>29.08.2023</w:t>
      </w:r>
      <w:r w:rsidRPr="00906E3F">
        <w:rPr>
          <w:rFonts w:ascii="Arial" w:hAnsi="Arial" w:cs="Arial"/>
          <w:sz w:val="20"/>
          <w:szCs w:val="20"/>
        </w:rPr>
        <w:t xml:space="preserve"> година го донесува следниот:</w:t>
      </w:r>
    </w:p>
    <w:p w:rsidR="00906E3F" w:rsidRPr="00906E3F" w:rsidRDefault="00906E3F" w:rsidP="00D7563C">
      <w:pPr>
        <w:ind w:firstLine="720"/>
        <w:rPr>
          <w:rFonts w:ascii="Arial" w:hAnsi="Arial" w:cs="Arial"/>
          <w:sz w:val="20"/>
          <w:szCs w:val="20"/>
        </w:rPr>
      </w:pP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З А К Л У Ч О К</w:t>
      </w: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ЗА УСНА ЈАВНА ПРОДАЖБА</w:t>
      </w:r>
    </w:p>
    <w:p w:rsidR="00D7563C" w:rsidRPr="00906E3F" w:rsidRDefault="00D7563C" w:rsidP="00D7563C">
      <w:pPr>
        <w:jc w:val="center"/>
        <w:rPr>
          <w:rFonts w:ascii="Arial" w:hAnsi="Arial" w:cs="Arial"/>
          <w:b/>
          <w:sz w:val="20"/>
          <w:szCs w:val="20"/>
        </w:rPr>
      </w:pPr>
      <w:r w:rsidRPr="00906E3F">
        <w:rPr>
          <w:rFonts w:ascii="Arial" w:hAnsi="Arial" w:cs="Arial"/>
          <w:b/>
          <w:sz w:val="20"/>
          <w:szCs w:val="20"/>
        </w:rPr>
        <w:t xml:space="preserve">(врз основа на членовите 179 став (1), 181 став (1) и 182 став (1) од </w:t>
      </w:r>
      <w:r w:rsidRPr="00906E3F">
        <w:rPr>
          <w:rFonts w:ascii="Arial" w:hAnsi="Arial" w:cs="Arial"/>
          <w:b/>
          <w:bCs/>
          <w:sz w:val="20"/>
          <w:szCs w:val="20"/>
        </w:rPr>
        <w:t>Законот за извршување</w:t>
      </w:r>
      <w:r w:rsidRPr="00906E3F">
        <w:rPr>
          <w:rFonts w:ascii="Arial" w:hAnsi="Arial" w:cs="Arial"/>
          <w:b/>
          <w:sz w:val="20"/>
          <w:szCs w:val="20"/>
        </w:rPr>
        <w:t>)</w:t>
      </w:r>
    </w:p>
    <w:p w:rsidR="00D7563C" w:rsidRPr="00906E3F" w:rsidRDefault="00D7563C" w:rsidP="00D7563C">
      <w:pPr>
        <w:rPr>
          <w:rFonts w:ascii="Arial" w:hAnsi="Arial" w:cs="Arial"/>
          <w:sz w:val="20"/>
          <w:szCs w:val="20"/>
        </w:rPr>
      </w:pPr>
    </w:p>
    <w:p w:rsidR="00D7563C" w:rsidRPr="00906E3F" w:rsidRDefault="00D7563C" w:rsidP="00906E3F">
      <w:pPr>
        <w:ind w:firstLine="720"/>
        <w:rPr>
          <w:rFonts w:ascii="Arial" w:hAnsi="Arial" w:cs="Arial"/>
          <w:sz w:val="20"/>
          <w:szCs w:val="20"/>
        </w:rPr>
      </w:pPr>
      <w:r w:rsidRPr="00906E3F">
        <w:rPr>
          <w:rFonts w:ascii="Arial" w:hAnsi="Arial" w:cs="Arial"/>
          <w:sz w:val="20"/>
          <w:szCs w:val="20"/>
        </w:rPr>
        <w:t>СЕ ОПРЕДЕЛУВА ПОВТОРЕНА ПРВА продажба со усно јавно наддавање на недвижноста означена како:</w:t>
      </w:r>
      <w:r w:rsidRPr="00906E3F">
        <w:rPr>
          <w:rFonts w:ascii="Arial" w:hAnsi="Arial" w:cs="Arial"/>
          <w:bCs/>
          <w:sz w:val="20"/>
          <w:szCs w:val="20"/>
        </w:rPr>
        <w:t>ЛИСТ В-КП.бр.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ЛОЃИИ, БАЛКОНИ И ТЕРАСИ ; влез 1 : кат 01.; број 2 ; Намена на посебен /заеднички дел од зграда /; Внатрешна површина во м2 4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СТАМБЕНА ЗГРАДА - СТАН; влез 1 : кат 01.; број 2 ; Намена на посебен /заеднички дел од зграда /; Внатрешна површина во м2 68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КП.бр.</w:t>
      </w:r>
      <w:r w:rsidRPr="00906E3F">
        <w:rPr>
          <w:rFonts w:ascii="Arial" w:hAnsi="Arial" w:cs="Arial"/>
          <w:bCs/>
          <w:sz w:val="20"/>
          <w:szCs w:val="20"/>
          <w:lang w:val="en-US"/>
        </w:rPr>
        <w:t>3465</w:t>
      </w:r>
      <w:r w:rsidRPr="00906E3F">
        <w:rPr>
          <w:rFonts w:ascii="Arial" w:hAnsi="Arial" w:cs="Arial"/>
          <w:bCs/>
          <w:sz w:val="20"/>
          <w:szCs w:val="20"/>
        </w:rPr>
        <w:t xml:space="preserve"> дел </w:t>
      </w:r>
      <w:r w:rsidRPr="00906E3F">
        <w:rPr>
          <w:rFonts w:ascii="Arial" w:hAnsi="Arial" w:cs="Arial"/>
          <w:bCs/>
          <w:sz w:val="20"/>
          <w:szCs w:val="20"/>
          <w:lang w:val="en-US"/>
        </w:rPr>
        <w:t>0</w:t>
      </w:r>
      <w:r w:rsidRPr="00906E3F">
        <w:rPr>
          <w:rFonts w:ascii="Arial" w:hAnsi="Arial" w:cs="Arial"/>
          <w:bCs/>
          <w:sz w:val="20"/>
          <w:szCs w:val="20"/>
        </w:rPr>
        <w:t xml:space="preserve"> ; Адреса (улица и куќен број на зграда)</w:t>
      </w:r>
      <w:r w:rsidRPr="00906E3F">
        <w:rPr>
          <w:rFonts w:ascii="Arial" w:hAnsi="Arial" w:cs="Arial"/>
          <w:bCs/>
          <w:sz w:val="20"/>
          <w:szCs w:val="20"/>
          <w:lang w:val="en-US"/>
        </w:rPr>
        <w:t xml:space="preserve"> </w:t>
      </w:r>
      <w:r w:rsidRPr="00906E3F">
        <w:rPr>
          <w:rFonts w:ascii="Arial" w:hAnsi="Arial" w:cs="Arial"/>
          <w:bCs/>
          <w:sz w:val="20"/>
          <w:szCs w:val="20"/>
        </w:rPr>
        <w:t>ИЛИНДЕНСКА ;  Бр.на зграда/друг објект 1 ; Намена на згр. преземена при конверзија на податоците од стариот ел.систем ПОМОШНИ ПРОСТОРИИ ; влез 1 : кат ПО.; број 2 ; Намена на посебен /заеднички дел од зграда /; Внатрешна површина во м2 7 м</w:t>
      </w:r>
      <w:r w:rsidRPr="00906E3F">
        <w:rPr>
          <w:rFonts w:ascii="Arial" w:hAnsi="Arial" w:cs="Arial"/>
          <w:bCs/>
          <w:sz w:val="20"/>
          <w:szCs w:val="20"/>
          <w:vertAlign w:val="superscript"/>
        </w:rPr>
        <w:t>2</w:t>
      </w:r>
      <w:r w:rsidRPr="00906E3F">
        <w:rPr>
          <w:rFonts w:ascii="Arial" w:hAnsi="Arial" w:cs="Arial"/>
          <w:bCs/>
          <w:sz w:val="20"/>
          <w:szCs w:val="20"/>
        </w:rPr>
        <w:t>; Право преземено при конверзија на податоците од стариот ел.систем 831</w:t>
      </w:r>
      <w:r w:rsidRPr="00906E3F">
        <w:rPr>
          <w:rFonts w:ascii="Arial" w:hAnsi="Arial" w:cs="Arial"/>
          <w:bCs/>
          <w:sz w:val="20"/>
          <w:szCs w:val="20"/>
          <w:lang w:val="en-US"/>
        </w:rPr>
        <w:t>;</w:t>
      </w:r>
      <w:r w:rsidRPr="00906E3F">
        <w:rPr>
          <w:rFonts w:ascii="Arial" w:hAnsi="Arial" w:cs="Arial"/>
          <w:bCs/>
          <w:sz w:val="20"/>
          <w:szCs w:val="20"/>
        </w:rPr>
        <w:t xml:space="preserve"> запишана во имотен лист бр.15313 при АКН Гостивар со следните ознаки: КО Гостивар – 1 која се наоѓа во сопственост</w:t>
      </w:r>
      <w:r w:rsidRPr="00906E3F">
        <w:rPr>
          <w:rFonts w:ascii="Arial" w:hAnsi="Arial" w:cs="Arial"/>
          <w:sz w:val="20"/>
          <w:szCs w:val="20"/>
        </w:rPr>
        <w:t xml:space="preserve"> на должникот Лирија Саллмани</w:t>
      </w:r>
      <w:r w:rsidRPr="00906E3F">
        <w:rPr>
          <w:rFonts w:ascii="Arial" w:hAnsi="Arial" w:cs="Arial"/>
          <w:sz w:val="20"/>
          <w:szCs w:val="20"/>
          <w:lang w:val="en-US"/>
        </w:rPr>
        <w:t>.</w:t>
      </w:r>
      <w:r w:rsidRPr="00906E3F">
        <w:rPr>
          <w:rFonts w:ascii="Arial" w:hAnsi="Arial" w:cs="Arial"/>
          <w:sz w:val="20"/>
          <w:szCs w:val="20"/>
        </w:rPr>
        <w:t xml:space="preserve"> Продажбата ќе се одржи на ден </w:t>
      </w:r>
      <w:r w:rsidRPr="00906E3F">
        <w:rPr>
          <w:rFonts w:ascii="Arial" w:hAnsi="Arial" w:cs="Arial"/>
          <w:b/>
          <w:sz w:val="20"/>
          <w:szCs w:val="20"/>
          <w:u w:val="single"/>
        </w:rPr>
        <w:t>18</w:t>
      </w:r>
      <w:r w:rsidRPr="00906E3F">
        <w:rPr>
          <w:rFonts w:ascii="Arial" w:hAnsi="Arial" w:cs="Arial"/>
          <w:b/>
          <w:sz w:val="20"/>
          <w:szCs w:val="20"/>
          <w:u w:val="single"/>
          <w:lang w:val="en-US"/>
        </w:rPr>
        <w:t>.0</w:t>
      </w:r>
      <w:r w:rsidRPr="00906E3F">
        <w:rPr>
          <w:rFonts w:ascii="Arial" w:hAnsi="Arial" w:cs="Arial"/>
          <w:b/>
          <w:sz w:val="20"/>
          <w:szCs w:val="20"/>
          <w:u w:val="single"/>
        </w:rPr>
        <w:t>9</w:t>
      </w:r>
      <w:r w:rsidRPr="00906E3F">
        <w:rPr>
          <w:rFonts w:ascii="Arial" w:hAnsi="Arial" w:cs="Arial"/>
          <w:b/>
          <w:sz w:val="20"/>
          <w:szCs w:val="20"/>
          <w:u w:val="single"/>
          <w:lang w:val="en-US"/>
        </w:rPr>
        <w:t>.2023</w:t>
      </w:r>
      <w:r w:rsidRPr="00906E3F">
        <w:rPr>
          <w:rFonts w:ascii="Arial" w:hAnsi="Arial" w:cs="Arial"/>
          <w:sz w:val="20"/>
          <w:szCs w:val="20"/>
          <w:lang w:val="en-US"/>
        </w:rPr>
        <w:t xml:space="preserve"> </w:t>
      </w:r>
      <w:r w:rsidRPr="00906E3F">
        <w:rPr>
          <w:rFonts w:ascii="Arial" w:hAnsi="Arial" w:cs="Arial"/>
          <w:sz w:val="20"/>
          <w:szCs w:val="20"/>
        </w:rPr>
        <w:t xml:space="preserve">година во </w:t>
      </w:r>
      <w:r w:rsidRPr="00906E3F">
        <w:rPr>
          <w:rFonts w:ascii="Arial" w:hAnsi="Arial" w:cs="Arial"/>
          <w:b/>
          <w:sz w:val="20"/>
          <w:szCs w:val="20"/>
          <w:u w:val="single"/>
          <w:lang w:val="en-US"/>
        </w:rPr>
        <w:t>07:</w:t>
      </w:r>
      <w:r w:rsidRPr="00906E3F">
        <w:rPr>
          <w:rFonts w:ascii="Arial" w:hAnsi="Arial" w:cs="Arial"/>
          <w:b/>
          <w:sz w:val="20"/>
          <w:szCs w:val="20"/>
          <w:u w:val="single"/>
        </w:rPr>
        <w:t>3</w:t>
      </w:r>
      <w:r w:rsidRPr="00906E3F">
        <w:rPr>
          <w:rFonts w:ascii="Arial" w:hAnsi="Arial" w:cs="Arial"/>
          <w:b/>
          <w:sz w:val="20"/>
          <w:szCs w:val="20"/>
          <w:u w:val="single"/>
          <w:lang w:val="en-US"/>
        </w:rPr>
        <w:t>0</w:t>
      </w:r>
      <w:r w:rsidRPr="00906E3F">
        <w:rPr>
          <w:rFonts w:ascii="Arial" w:hAnsi="Arial" w:cs="Arial"/>
          <w:sz w:val="20"/>
          <w:szCs w:val="20"/>
          <w:lang w:val="en-US"/>
        </w:rPr>
        <w:t xml:space="preserve"> </w:t>
      </w:r>
      <w:r w:rsidRPr="00906E3F">
        <w:rPr>
          <w:rFonts w:ascii="Arial" w:hAnsi="Arial" w:cs="Arial"/>
          <w:sz w:val="20"/>
          <w:szCs w:val="20"/>
        </w:rPr>
        <w:t xml:space="preserve">часот  во просториите на Извршител Чедомир Личковски од Гостивар, ул. Мајор Чеде Филипоски,  бр.2 Гостивар. Почетната вредност на недвижноста, утврдена со заклучок на извршителот </w:t>
      </w:r>
      <w:r w:rsidRPr="00906E3F">
        <w:rPr>
          <w:rFonts w:ascii="Arial" w:hAnsi="Arial" w:cs="Arial"/>
          <w:sz w:val="20"/>
          <w:szCs w:val="20"/>
          <w:lang w:val="ru-RU"/>
        </w:rPr>
        <w:t>И.бр.1278/22 од 21.10.2022 година</w:t>
      </w:r>
      <w:r w:rsidRPr="00906E3F">
        <w:rPr>
          <w:rFonts w:ascii="Arial" w:hAnsi="Arial" w:cs="Arial"/>
          <w:sz w:val="20"/>
          <w:szCs w:val="20"/>
        </w:rPr>
        <w:t xml:space="preserve">,  изнесува </w:t>
      </w:r>
      <w:r w:rsidRPr="00906E3F">
        <w:rPr>
          <w:rFonts w:ascii="Arial" w:hAnsi="Arial" w:cs="Arial"/>
          <w:sz w:val="20"/>
          <w:szCs w:val="20"/>
          <w:lang w:val="ru-RU"/>
        </w:rPr>
        <w:t xml:space="preserve">2.728.185,00 </w:t>
      </w:r>
      <w:r w:rsidRPr="00906E3F">
        <w:rPr>
          <w:rFonts w:ascii="Arial" w:hAnsi="Arial" w:cs="Arial"/>
          <w:sz w:val="20"/>
          <w:szCs w:val="20"/>
        </w:rPr>
        <w:t>денари, под која недвижноста не може да се продаде на повтореното прво јавно наддавање.</w:t>
      </w:r>
    </w:p>
    <w:p w:rsidR="00D7563C" w:rsidRPr="00906E3F" w:rsidRDefault="00D7563C" w:rsidP="00D7563C">
      <w:pPr>
        <w:ind w:firstLine="720"/>
        <w:rPr>
          <w:rFonts w:ascii="Arial" w:hAnsi="Arial" w:cs="Arial"/>
          <w:color w:val="FF0000"/>
          <w:sz w:val="20"/>
          <w:szCs w:val="20"/>
        </w:rPr>
      </w:pPr>
      <w:r w:rsidRPr="00906E3F">
        <w:rPr>
          <w:rFonts w:ascii="Arial" w:hAnsi="Arial" w:cs="Arial"/>
          <w:sz w:val="20"/>
          <w:szCs w:val="20"/>
        </w:rPr>
        <w:t>Недвижноста е оптоварена со следните товари и службености</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Налог за извршување И.бр.1278/22 од 17.08.2022 година од Извршител Чедомир Личковски, именуван за подрачјето на Основните судови Гостивар и Кичево</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Налог за извршување И.бр.1904/21 од 29.10.2021 година од Извршител Весна Јакимовска, именуван за подрачјето на Основните судови Гостивар и Кичево</w:t>
      </w:r>
      <w:r w:rsidRPr="00906E3F">
        <w:rPr>
          <w:rFonts w:ascii="Arial" w:hAnsi="Arial" w:cs="Arial"/>
          <w:sz w:val="20"/>
          <w:szCs w:val="20"/>
          <w:lang w:val="en-US"/>
        </w:rPr>
        <w:t>;</w:t>
      </w:r>
    </w:p>
    <w:p w:rsidR="00D7563C" w:rsidRPr="00906E3F" w:rsidRDefault="00D7563C" w:rsidP="00D7563C">
      <w:pPr>
        <w:ind w:firstLine="720"/>
        <w:rPr>
          <w:rFonts w:ascii="Arial" w:hAnsi="Arial" w:cs="Arial"/>
          <w:sz w:val="20"/>
          <w:szCs w:val="20"/>
        </w:rPr>
      </w:pPr>
      <w:r w:rsidRPr="00906E3F">
        <w:rPr>
          <w:rFonts w:ascii="Arial" w:hAnsi="Arial" w:cs="Arial"/>
          <w:sz w:val="20"/>
          <w:szCs w:val="20"/>
        </w:rPr>
        <w:t>-   Залог - Хипотека воспоставена во корист на заложен доверител Охридска банка АД Скопје чиј правен следбеник е Шпаркасе банка АД Скопје</w:t>
      </w:r>
      <w:r w:rsidRPr="00906E3F">
        <w:rPr>
          <w:rFonts w:ascii="Arial" w:hAnsi="Arial" w:cs="Arial"/>
          <w:color w:val="FF0000"/>
          <w:sz w:val="20"/>
          <w:szCs w:val="20"/>
        </w:rPr>
        <w:t xml:space="preserve"> </w:t>
      </w:r>
      <w:r w:rsidRPr="00906E3F">
        <w:rPr>
          <w:rFonts w:ascii="Arial" w:hAnsi="Arial" w:cs="Arial"/>
          <w:sz w:val="20"/>
          <w:szCs w:val="20"/>
        </w:rPr>
        <w:t xml:space="preserve">со Договор за залог – хипотека ОДУ бр.1812/18 од 06.12.2018 година, на Нотар Башким Елези од Гостивар, износ на побарување 25000 ЕМУ </w:t>
      </w:r>
      <w:r w:rsidRPr="00906E3F">
        <w:rPr>
          <w:rFonts w:ascii="Arial" w:hAnsi="Arial" w:cs="Arial"/>
          <w:sz w:val="20"/>
          <w:szCs w:val="20"/>
          <w:lang w:val="en-US"/>
        </w:rPr>
        <w:t>(EU)</w:t>
      </w:r>
      <w:r w:rsidRPr="00906E3F">
        <w:rPr>
          <w:rFonts w:ascii="Arial" w:hAnsi="Arial" w:cs="Arial"/>
          <w:sz w:val="20"/>
          <w:szCs w:val="20"/>
        </w:rPr>
        <w:t>.</w:t>
      </w:r>
    </w:p>
    <w:p w:rsidR="00D7563C" w:rsidRDefault="00D7563C" w:rsidP="00D7563C">
      <w:pPr>
        <w:ind w:firstLine="720"/>
        <w:rPr>
          <w:rFonts w:ascii="Arial" w:hAnsi="Arial" w:cs="Arial"/>
          <w:sz w:val="20"/>
          <w:szCs w:val="20"/>
        </w:rPr>
      </w:pPr>
      <w:r w:rsidRPr="00906E3F">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6E3F">
        <w:rPr>
          <w:rFonts w:ascii="Arial" w:hAnsi="Arial" w:cs="Arial"/>
          <w:color w:val="00B050"/>
          <w:sz w:val="20"/>
          <w:szCs w:val="20"/>
        </w:rPr>
        <w:t xml:space="preserve"> </w:t>
      </w:r>
      <w:r w:rsidRPr="00906E3F">
        <w:rPr>
          <w:rFonts w:ascii="Arial"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Pr="00906E3F">
        <w:rPr>
          <w:rFonts w:ascii="Arial" w:hAnsi="Arial" w:cs="Arial"/>
          <w:sz w:val="20"/>
          <w:szCs w:val="20"/>
          <w:lang w:val="ru-RU"/>
        </w:rPr>
        <w:t xml:space="preserve"> </w:t>
      </w:r>
      <w:r w:rsidRPr="00906E3F">
        <w:rPr>
          <w:rFonts w:ascii="Arial" w:hAnsi="Arial" w:cs="Arial"/>
          <w:color w:val="000000"/>
          <w:sz w:val="20"/>
          <w:szCs w:val="20"/>
          <w:lang w:val="en-US"/>
        </w:rPr>
        <w:t>210065594760251</w:t>
      </w:r>
      <w:r w:rsidRPr="00906E3F">
        <w:rPr>
          <w:rFonts w:ascii="Arial" w:hAnsi="Arial" w:cs="Arial"/>
          <w:sz w:val="20"/>
          <w:szCs w:val="20"/>
          <w:lang w:val="en-US"/>
        </w:rPr>
        <w:t xml:space="preserve"> </w:t>
      </w:r>
      <w:r w:rsidRPr="00906E3F">
        <w:rPr>
          <w:rFonts w:ascii="Arial" w:hAnsi="Arial" w:cs="Arial"/>
          <w:sz w:val="20"/>
          <w:szCs w:val="20"/>
        </w:rPr>
        <w:t xml:space="preserve">која се води кај </w:t>
      </w:r>
      <w:r w:rsidRPr="00906E3F">
        <w:rPr>
          <w:rFonts w:ascii="Arial" w:hAnsi="Arial" w:cs="Arial"/>
          <w:color w:val="000000"/>
          <w:sz w:val="20"/>
          <w:szCs w:val="20"/>
          <w:lang w:val="en-US"/>
        </w:rPr>
        <w:t xml:space="preserve">НЛБ </w:t>
      </w:r>
      <w:proofErr w:type="spellStart"/>
      <w:r w:rsidRPr="00906E3F">
        <w:rPr>
          <w:rFonts w:ascii="Arial" w:hAnsi="Arial" w:cs="Arial"/>
          <w:color w:val="000000"/>
          <w:sz w:val="20"/>
          <w:szCs w:val="20"/>
          <w:lang w:val="en-US"/>
        </w:rPr>
        <w:t>Тутунска</w:t>
      </w:r>
      <w:proofErr w:type="spellEnd"/>
      <w:r w:rsidRPr="00906E3F">
        <w:rPr>
          <w:rFonts w:ascii="Arial" w:hAnsi="Arial" w:cs="Arial"/>
          <w:color w:val="000000"/>
          <w:sz w:val="20"/>
          <w:szCs w:val="20"/>
          <w:lang w:val="en-US"/>
        </w:rPr>
        <w:t xml:space="preserve"> </w:t>
      </w:r>
      <w:proofErr w:type="spellStart"/>
      <w:r w:rsidRPr="00906E3F">
        <w:rPr>
          <w:rFonts w:ascii="Arial" w:hAnsi="Arial" w:cs="Arial"/>
          <w:color w:val="000000"/>
          <w:sz w:val="20"/>
          <w:szCs w:val="20"/>
          <w:lang w:val="en-US"/>
        </w:rPr>
        <w:t>Банка</w:t>
      </w:r>
      <w:proofErr w:type="spellEnd"/>
      <w:r w:rsidRPr="00906E3F">
        <w:rPr>
          <w:rFonts w:ascii="Arial" w:hAnsi="Arial" w:cs="Arial"/>
          <w:color w:val="000000"/>
          <w:sz w:val="20"/>
          <w:szCs w:val="20"/>
          <w:lang w:val="en-US"/>
        </w:rPr>
        <w:t xml:space="preserve"> АД </w:t>
      </w:r>
      <w:proofErr w:type="spellStart"/>
      <w:r w:rsidRPr="00906E3F">
        <w:rPr>
          <w:rFonts w:ascii="Arial" w:hAnsi="Arial" w:cs="Arial"/>
          <w:color w:val="000000"/>
          <w:sz w:val="20"/>
          <w:szCs w:val="20"/>
          <w:lang w:val="en-US"/>
        </w:rPr>
        <w:t>Скопје</w:t>
      </w:r>
      <w:proofErr w:type="spellEnd"/>
      <w:r w:rsidRPr="00906E3F">
        <w:rPr>
          <w:rFonts w:ascii="Arial" w:hAnsi="Arial" w:cs="Arial"/>
          <w:sz w:val="20"/>
          <w:szCs w:val="20"/>
        </w:rPr>
        <w:t xml:space="preserve"> и даночен број </w:t>
      </w:r>
      <w:r w:rsidRPr="00906E3F">
        <w:rPr>
          <w:rFonts w:ascii="Arial" w:hAnsi="Arial" w:cs="Arial"/>
          <w:color w:val="000000"/>
          <w:sz w:val="20"/>
          <w:szCs w:val="20"/>
          <w:lang w:val="en-US"/>
        </w:rPr>
        <w:t>5007010503623</w:t>
      </w:r>
      <w:r w:rsidRPr="00906E3F">
        <w:rPr>
          <w:rFonts w:ascii="Arial" w:hAnsi="Arial" w:cs="Arial"/>
          <w:sz w:val="20"/>
          <w:szCs w:val="20"/>
          <w:lang w:val="en-US"/>
        </w:rPr>
        <w:t>.</w:t>
      </w:r>
      <w:r w:rsidRPr="00906E3F">
        <w:rPr>
          <w:rFonts w:ascii="Arial" w:hAnsi="Arial" w:cs="Arial"/>
          <w:sz w:val="20"/>
          <w:szCs w:val="20"/>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906E3F">
        <w:rPr>
          <w:rFonts w:ascii="Arial" w:hAnsi="Arial" w:cs="Arial"/>
          <w:sz w:val="20"/>
          <w:szCs w:val="20"/>
          <w:lang w:val="ru-RU"/>
        </w:rPr>
        <w:t xml:space="preserve">15 </w:t>
      </w:r>
      <w:r w:rsidRPr="00906E3F">
        <w:rPr>
          <w:rFonts w:ascii="Arial" w:hAnsi="Arial" w:cs="Arial"/>
          <w:sz w:val="20"/>
          <w:szCs w:val="20"/>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sidRPr="00906E3F">
        <w:rPr>
          <w:rFonts w:ascii="Arial" w:hAnsi="Arial" w:cs="Arial"/>
          <w:sz w:val="20"/>
          <w:szCs w:val="20"/>
          <w:lang w:val="ru-RU"/>
        </w:rPr>
        <w:t>Нова Македонија и електронски на веб страницата на Комората</w:t>
      </w:r>
      <w:r w:rsidRPr="00906E3F">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D769A" w:rsidRPr="00906E3F" w:rsidRDefault="00ED769A" w:rsidP="00D7563C">
      <w:pPr>
        <w:ind w:firstLine="720"/>
        <w:rPr>
          <w:rFonts w:ascii="Arial" w:hAnsi="Arial" w:cs="Arial"/>
          <w:sz w:val="20"/>
          <w:szCs w:val="20"/>
        </w:rPr>
      </w:pPr>
    </w:p>
    <w:p w:rsidR="00D7563C" w:rsidRPr="00906E3F" w:rsidRDefault="00D7563C" w:rsidP="00D7563C">
      <w:pPr>
        <w:rPr>
          <w:rFonts w:ascii="Arial" w:hAnsi="Arial" w:cs="Arial"/>
          <w:sz w:val="20"/>
          <w:szCs w:val="20"/>
        </w:rPr>
      </w:pP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r>
      <w:r w:rsidRPr="00906E3F">
        <w:rPr>
          <w:sz w:val="20"/>
          <w:szCs w:val="20"/>
        </w:rPr>
        <w:tab/>
        <w:t xml:space="preserve">  </w:t>
      </w:r>
      <w:r w:rsidR="00906E3F" w:rsidRPr="00906E3F">
        <w:rPr>
          <w:sz w:val="20"/>
          <w:szCs w:val="20"/>
        </w:rPr>
        <w:t xml:space="preserve">                      </w:t>
      </w:r>
      <w:r w:rsidRPr="00906E3F">
        <w:rPr>
          <w:sz w:val="20"/>
          <w:szCs w:val="20"/>
        </w:rPr>
        <w:t xml:space="preserve"> </w:t>
      </w:r>
      <w:r w:rsidRPr="00906E3F">
        <w:rPr>
          <w:rFonts w:ascii="Arial" w:hAnsi="Arial" w:cs="Arial"/>
          <w:sz w:val="20"/>
          <w:szCs w:val="20"/>
        </w:rPr>
        <w:t>И З В Р Ш И Т Е Л</w:t>
      </w:r>
    </w:p>
    <w:tbl>
      <w:tblPr>
        <w:tblW w:w="0" w:type="auto"/>
        <w:tblLook w:val="04A0" w:firstRow="1" w:lastRow="0" w:firstColumn="1" w:lastColumn="0" w:noHBand="0" w:noVBand="1"/>
      </w:tblPr>
      <w:tblGrid>
        <w:gridCol w:w="5323"/>
        <w:gridCol w:w="5333"/>
      </w:tblGrid>
      <w:tr w:rsidR="00D7563C" w:rsidRPr="00906E3F" w:rsidTr="005A747A">
        <w:tc>
          <w:tcPr>
            <w:tcW w:w="5377" w:type="dxa"/>
          </w:tcPr>
          <w:p w:rsidR="00D7563C" w:rsidRPr="00906E3F" w:rsidRDefault="00D7563C" w:rsidP="005A747A">
            <w:pPr>
              <w:rPr>
                <w:sz w:val="20"/>
                <w:szCs w:val="20"/>
              </w:rPr>
            </w:pPr>
          </w:p>
        </w:tc>
        <w:tc>
          <w:tcPr>
            <w:tcW w:w="5377" w:type="dxa"/>
            <w:hideMark/>
          </w:tcPr>
          <w:p w:rsidR="00D7563C" w:rsidRPr="00906E3F" w:rsidRDefault="00906E3F" w:rsidP="00906E3F">
            <w:pPr>
              <w:rPr>
                <w:sz w:val="20"/>
                <w:szCs w:val="20"/>
              </w:rPr>
            </w:pPr>
            <w:r>
              <w:rPr>
                <w:rFonts w:ascii="Arial" w:hAnsi="Arial" w:cs="Arial"/>
                <w:bCs/>
                <w:color w:val="000000"/>
                <w:sz w:val="20"/>
                <w:szCs w:val="20"/>
                <w:lang w:eastAsia="mk-MK"/>
              </w:rPr>
              <w:t xml:space="preserve">                        </w:t>
            </w:r>
            <w:r w:rsidR="00D7563C" w:rsidRPr="00906E3F">
              <w:rPr>
                <w:rFonts w:ascii="Arial" w:hAnsi="Arial" w:cs="Arial"/>
                <w:bCs/>
                <w:color w:val="000000"/>
                <w:sz w:val="20"/>
                <w:szCs w:val="20"/>
                <w:lang w:eastAsia="mk-MK"/>
              </w:rPr>
              <w:t>Чедомир Личковски</w:t>
            </w:r>
          </w:p>
        </w:tc>
      </w:tr>
    </w:tbl>
    <w:p w:rsidR="009E32F5" w:rsidRPr="00583D02" w:rsidRDefault="009E32F5" w:rsidP="00906E3F">
      <w:pPr>
        <w:rPr>
          <w:sz w:val="20"/>
          <w:szCs w:val="20"/>
          <w:lang w:val="en-US"/>
        </w:rPr>
      </w:pPr>
    </w:p>
    <w:sectPr w:rsidR="009E32F5" w:rsidRPr="00583D02" w:rsidSect="00906E3F">
      <w:pgSz w:w="11906" w:h="16838"/>
      <w:pgMar w:top="630" w:right="746" w:bottom="540" w:left="720" w:header="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89" w:rsidRDefault="00731289" w:rsidP="00D7563C">
      <w:r>
        <w:separator/>
      </w:r>
    </w:p>
  </w:endnote>
  <w:endnote w:type="continuationSeparator" w:id="0">
    <w:p w:rsidR="00731289" w:rsidRDefault="00731289" w:rsidP="00D7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89" w:rsidRDefault="00731289" w:rsidP="00D7563C">
      <w:r>
        <w:separator/>
      </w:r>
    </w:p>
  </w:footnote>
  <w:footnote w:type="continuationSeparator" w:id="0">
    <w:p w:rsidR="00731289" w:rsidRDefault="00731289" w:rsidP="00D7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F"/>
    <w:rsid w:val="00060AFD"/>
    <w:rsid w:val="001565E6"/>
    <w:rsid w:val="001C33CF"/>
    <w:rsid w:val="002F716A"/>
    <w:rsid w:val="003419F4"/>
    <w:rsid w:val="004722B3"/>
    <w:rsid w:val="00583D02"/>
    <w:rsid w:val="005C5648"/>
    <w:rsid w:val="00731289"/>
    <w:rsid w:val="007E41E9"/>
    <w:rsid w:val="00906E3F"/>
    <w:rsid w:val="009A2CDF"/>
    <w:rsid w:val="009C3DEF"/>
    <w:rsid w:val="009E32F5"/>
    <w:rsid w:val="00A34723"/>
    <w:rsid w:val="00A66EA6"/>
    <w:rsid w:val="00AC6EDE"/>
    <w:rsid w:val="00CF508A"/>
    <w:rsid w:val="00D516D7"/>
    <w:rsid w:val="00D7563C"/>
    <w:rsid w:val="00ED769A"/>
    <w:rsid w:val="00F61166"/>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DE"/>
    <w:rPr>
      <w:rFonts w:ascii="Segoe UI" w:hAnsi="Segoe UI" w:cs="Segoe UI"/>
      <w:sz w:val="18"/>
      <w:szCs w:val="18"/>
      <w:lang w:eastAsia="en-US"/>
    </w:rPr>
  </w:style>
  <w:style w:type="paragraph" w:styleId="BodyText">
    <w:name w:val="Body Text"/>
    <w:basedOn w:val="Normal"/>
    <w:link w:val="BodyTextChar"/>
    <w:rsid w:val="00D7563C"/>
    <w:rPr>
      <w:rFonts w:ascii="MAC C Times" w:eastAsia="Times New Roman" w:hAnsi="MAC C Times"/>
      <w:sz w:val="24"/>
      <w:szCs w:val="24"/>
      <w:lang w:val="en-US"/>
    </w:rPr>
  </w:style>
  <w:style w:type="character" w:customStyle="1" w:styleId="BodyTextChar">
    <w:name w:val="Body Text Char"/>
    <w:basedOn w:val="DefaultParagraphFont"/>
    <w:link w:val="BodyText"/>
    <w:rsid w:val="00D7563C"/>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7563C"/>
    <w:pPr>
      <w:tabs>
        <w:tab w:val="center" w:pos="4680"/>
        <w:tab w:val="right" w:pos="9360"/>
      </w:tabs>
    </w:pPr>
  </w:style>
  <w:style w:type="character" w:customStyle="1" w:styleId="HeaderChar">
    <w:name w:val="Header Char"/>
    <w:basedOn w:val="DefaultParagraphFont"/>
    <w:link w:val="Header"/>
    <w:uiPriority w:val="99"/>
    <w:semiHidden/>
    <w:rsid w:val="00D7563C"/>
    <w:rPr>
      <w:sz w:val="22"/>
      <w:szCs w:val="22"/>
      <w:lang w:eastAsia="en-US"/>
    </w:rPr>
  </w:style>
  <w:style w:type="paragraph" w:styleId="Footer">
    <w:name w:val="footer"/>
    <w:basedOn w:val="Normal"/>
    <w:link w:val="FooterChar"/>
    <w:uiPriority w:val="99"/>
    <w:semiHidden/>
    <w:unhideWhenUsed/>
    <w:rsid w:val="00D7563C"/>
    <w:pPr>
      <w:tabs>
        <w:tab w:val="center" w:pos="4680"/>
        <w:tab w:val="right" w:pos="9360"/>
      </w:tabs>
    </w:pPr>
  </w:style>
  <w:style w:type="character" w:customStyle="1" w:styleId="FooterChar">
    <w:name w:val="Footer Char"/>
    <w:basedOn w:val="DefaultParagraphFont"/>
    <w:link w:val="Footer"/>
    <w:uiPriority w:val="99"/>
    <w:semiHidden/>
    <w:rsid w:val="00D756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EF"/>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DE"/>
    <w:rPr>
      <w:rFonts w:ascii="Segoe UI" w:hAnsi="Segoe UI" w:cs="Segoe UI"/>
      <w:sz w:val="18"/>
      <w:szCs w:val="18"/>
      <w:lang w:eastAsia="en-US"/>
    </w:rPr>
  </w:style>
  <w:style w:type="paragraph" w:styleId="BodyText">
    <w:name w:val="Body Text"/>
    <w:basedOn w:val="Normal"/>
    <w:link w:val="BodyTextChar"/>
    <w:rsid w:val="00D7563C"/>
    <w:rPr>
      <w:rFonts w:ascii="MAC C Times" w:eastAsia="Times New Roman" w:hAnsi="MAC C Times"/>
      <w:sz w:val="24"/>
      <w:szCs w:val="24"/>
      <w:lang w:val="en-US"/>
    </w:rPr>
  </w:style>
  <w:style w:type="character" w:customStyle="1" w:styleId="BodyTextChar">
    <w:name w:val="Body Text Char"/>
    <w:basedOn w:val="DefaultParagraphFont"/>
    <w:link w:val="BodyText"/>
    <w:rsid w:val="00D7563C"/>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7563C"/>
    <w:pPr>
      <w:tabs>
        <w:tab w:val="center" w:pos="4680"/>
        <w:tab w:val="right" w:pos="9360"/>
      </w:tabs>
    </w:pPr>
  </w:style>
  <w:style w:type="character" w:customStyle="1" w:styleId="HeaderChar">
    <w:name w:val="Header Char"/>
    <w:basedOn w:val="DefaultParagraphFont"/>
    <w:link w:val="Header"/>
    <w:uiPriority w:val="99"/>
    <w:semiHidden/>
    <w:rsid w:val="00D7563C"/>
    <w:rPr>
      <w:sz w:val="22"/>
      <w:szCs w:val="22"/>
      <w:lang w:eastAsia="en-US"/>
    </w:rPr>
  </w:style>
  <w:style w:type="paragraph" w:styleId="Footer">
    <w:name w:val="footer"/>
    <w:basedOn w:val="Normal"/>
    <w:link w:val="FooterChar"/>
    <w:uiPriority w:val="99"/>
    <w:semiHidden/>
    <w:unhideWhenUsed/>
    <w:rsid w:val="00D7563C"/>
    <w:pPr>
      <w:tabs>
        <w:tab w:val="center" w:pos="4680"/>
        <w:tab w:val="right" w:pos="9360"/>
      </w:tabs>
    </w:pPr>
  </w:style>
  <w:style w:type="character" w:customStyle="1" w:styleId="FooterChar">
    <w:name w:val="Footer Char"/>
    <w:basedOn w:val="DefaultParagraphFont"/>
    <w:link w:val="Footer"/>
    <w:uiPriority w:val="99"/>
    <w:semiHidden/>
    <w:rsid w:val="00D756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Windows User</cp:lastModifiedBy>
  <cp:revision>2</cp:revision>
  <cp:lastPrinted>2021-01-25T09:12:00Z</cp:lastPrinted>
  <dcterms:created xsi:type="dcterms:W3CDTF">2023-08-31T10:08:00Z</dcterms:created>
  <dcterms:modified xsi:type="dcterms:W3CDTF">2023-08-31T10:08:00Z</dcterms:modified>
</cp:coreProperties>
</file>