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992145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92145">
              <w:rPr>
                <w:rFonts w:ascii="Arial" w:eastAsia="Times New Roman" w:hAnsi="Arial" w:cs="Arial"/>
                <w:b/>
                <w:lang w:val="en-US"/>
              </w:rPr>
              <w:t>1022/2023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992145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992145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992145" w:rsidRDefault="00992145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992145" w:rsidP="009921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99214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92145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992145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992145">
        <w:rPr>
          <w:rFonts w:ascii="Arial" w:hAnsi="Arial" w:cs="Arial"/>
        </w:rPr>
        <w:t>доверителот Друштво за производство, трговија и услуги КРУНА-КОМПАНИ АГЕНЦИЈА С&amp;С ДООЕЛ Делчево од Делчево</w:t>
      </w:r>
      <w:r w:rsidR="00992145">
        <w:rPr>
          <w:rFonts w:ascii="Arial" w:hAnsi="Arial" w:cs="Arial"/>
          <w:lang w:val="ru-RU"/>
        </w:rPr>
        <w:t xml:space="preserve"> </w:t>
      </w:r>
      <w:r w:rsidR="00992145">
        <w:rPr>
          <w:rFonts w:ascii="Arial" w:hAnsi="Arial" w:cs="Arial"/>
        </w:rPr>
        <w:t>со седиште на  ул.Кочо Рацин бр.10 преку полномошник Адвокат Ќирил Величковски</w:t>
      </w:r>
      <w:r w:rsidR="00992145">
        <w:rPr>
          <w:rFonts w:ascii="Arial" w:hAnsi="Arial" w:cs="Arial"/>
          <w:lang w:val="ru-RU"/>
        </w:rPr>
        <w:t>,</w:t>
      </w:r>
      <w:r w:rsidR="00992145">
        <w:rPr>
          <w:rFonts w:ascii="Arial" w:hAnsi="Arial" w:cs="Arial"/>
        </w:rPr>
        <w:t xml:space="preserve">  засновано на извршната исправа НПН бр.602/23 од 19.09.2023 година на Нотар Зарија Апостолова од Неготино, против должникот Друштво за агрикултура и фармација СЕЈФ ФАРМА ДООЕЛ увоз-извоз с.Бистренци Демир Капија од Демир Капија со </w:t>
      </w:r>
      <w:r w:rsidR="00992145">
        <w:rPr>
          <w:rFonts w:ascii="Arial" w:hAnsi="Arial" w:cs="Arial"/>
          <w:lang w:val="ru-RU"/>
        </w:rPr>
        <w:t>седиште на</w:t>
      </w:r>
      <w:r w:rsidR="00992145">
        <w:rPr>
          <w:rFonts w:ascii="Arial" w:hAnsi="Arial" w:cs="Arial"/>
        </w:rPr>
        <w:t xml:space="preserve"> Населено место без уличен бб Бистренци</w:t>
      </w:r>
      <w:r w:rsidRPr="00E96898">
        <w:rPr>
          <w:rFonts w:ascii="Arial" w:hAnsi="Arial" w:cs="Arial"/>
        </w:rPr>
        <w:t xml:space="preserve">, </w:t>
      </w:r>
      <w:bookmarkStart w:id="8" w:name="Dolznik2"/>
      <w:bookmarkEnd w:id="8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992145">
        <w:rPr>
          <w:rFonts w:ascii="Arial" w:hAnsi="Arial" w:cs="Arial"/>
        </w:rPr>
        <w:t>1.548.720,00</w:t>
      </w:r>
      <w:r w:rsidRPr="00E96898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992145">
        <w:rPr>
          <w:rFonts w:ascii="Arial" w:hAnsi="Arial" w:cs="Arial"/>
        </w:rPr>
        <w:t>20.06.2025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992145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2145" w:rsidRDefault="00952FAA" w:rsidP="007C56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7C56A7">
        <w:rPr>
          <w:rFonts w:ascii="Arial" w:hAnsi="Arial" w:cs="Arial"/>
        </w:rPr>
        <w:tab/>
      </w:r>
      <w:r w:rsidRPr="00211393">
        <w:rPr>
          <w:rFonts w:ascii="Arial" w:eastAsia="Times New Roman" w:hAnsi="Arial" w:cs="Arial"/>
        </w:rPr>
        <w:t xml:space="preserve">СЕ ОПРЕДЕЛУВА  </w:t>
      </w:r>
      <w:r w:rsidR="00992145" w:rsidRPr="00992145">
        <w:rPr>
          <w:rFonts w:ascii="Arial" w:eastAsia="Times New Roman" w:hAnsi="Arial" w:cs="Arial"/>
          <w:b/>
        </w:rPr>
        <w:t xml:space="preserve">прва </w:t>
      </w:r>
      <w:r w:rsidRPr="00992145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</w:t>
      </w:r>
      <w:r w:rsidR="00992145">
        <w:rPr>
          <w:rFonts w:ascii="Arial" w:eastAsia="Times New Roman" w:hAnsi="Arial" w:cs="Arial"/>
        </w:rPr>
        <w:t xml:space="preserve">  јавно наддавање на недвижностите означени</w:t>
      </w:r>
      <w:r w:rsidRPr="00211393">
        <w:rPr>
          <w:rFonts w:ascii="Arial" w:eastAsia="Times New Roman" w:hAnsi="Arial" w:cs="Arial"/>
        </w:rPr>
        <w:t xml:space="preserve"> како:</w:t>
      </w:r>
    </w:p>
    <w:p w:rsidR="00D76BD9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бр.757 дел 5 </w:t>
      </w:r>
      <w:r>
        <w:rPr>
          <w:rFonts w:ascii="Arial" w:hAnsi="Arial" w:cs="Arial"/>
        </w:rPr>
        <w:t>викано место/улица ПОДНИЦА катастарска култура 11000 класа 3 во површина од 6.514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Б од Имотен лист бр.179 за КО Бистренци при Одделение за катастар на недвижности Неготино сопственост на должникот </w:t>
      </w:r>
      <w:r w:rsidR="00D76BD9">
        <w:rPr>
          <w:rFonts w:ascii="Arial" w:hAnsi="Arial" w:cs="Arial"/>
        </w:rPr>
        <w:t xml:space="preserve">Друштво за агрикултура и фармација СЕЈФ ФАРМА ДООЕЛ увоз-извоз с.Бистренци Демир Капија од Демир Капија со </w:t>
      </w:r>
      <w:r w:rsidR="00D76BD9">
        <w:rPr>
          <w:rFonts w:ascii="Arial" w:hAnsi="Arial" w:cs="Arial"/>
          <w:lang w:val="ru-RU"/>
        </w:rPr>
        <w:t>седиште на</w:t>
      </w:r>
      <w:r w:rsidR="00D76BD9">
        <w:rPr>
          <w:rFonts w:ascii="Arial" w:hAnsi="Arial" w:cs="Arial"/>
        </w:rPr>
        <w:t xml:space="preserve"> Населено место без уличен бб Бистренци  </w:t>
      </w:r>
    </w:p>
    <w:p w:rsidR="00992145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и на:</w:t>
      </w:r>
    </w:p>
    <w:p w:rsidR="00992145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бр.751 дел 1 </w:t>
      </w:r>
      <w:r>
        <w:rPr>
          <w:rFonts w:ascii="Arial" w:hAnsi="Arial" w:cs="Arial"/>
        </w:rPr>
        <w:t>викано место/улица ПОДНИЦИ катастарска култура ЗЗ Н класа 3 во површина од 5.268</w:t>
      </w:r>
      <w:r>
        <w:rPr>
          <w:rFonts w:ascii="Arial" w:hAnsi="Arial" w:cs="Arial"/>
          <w:lang w:val="en-US"/>
        </w:rPr>
        <w:t>m2</w:t>
      </w:r>
    </w:p>
    <w:p w:rsidR="00992145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бр.751 дел 1 </w:t>
      </w:r>
      <w:r>
        <w:rPr>
          <w:rFonts w:ascii="Arial" w:hAnsi="Arial" w:cs="Arial"/>
        </w:rPr>
        <w:t>викано место/улица ПОДНИЦИ катастарска култура ЗЗ Н-ОПОЗП 1 класа / во површина од 451</w:t>
      </w:r>
      <w:r>
        <w:rPr>
          <w:rFonts w:ascii="Arial" w:hAnsi="Arial" w:cs="Arial"/>
          <w:lang w:val="en-US"/>
        </w:rPr>
        <w:t xml:space="preserve">m2 </w:t>
      </w:r>
      <w:r>
        <w:rPr>
          <w:rFonts w:ascii="Arial" w:hAnsi="Arial" w:cs="Arial"/>
        </w:rPr>
        <w:t>запишана во лист Б од Имотен лист бр.5680 за КО Бистренци</w:t>
      </w:r>
    </w:p>
    <w:p w:rsidR="00992145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-Кп бр.751 дел 1</w:t>
      </w:r>
      <w:r>
        <w:rPr>
          <w:rFonts w:ascii="Arial" w:hAnsi="Arial" w:cs="Arial"/>
        </w:rPr>
        <w:t xml:space="preserve"> адреса ПОДНИЦИ бр.на зграда/друг објект 1 намена на згр.преземена при конверзија на податоците од стариот ел.систем ФЗ влез 1 кат ПР број – намена на посебен/заеднички дел од зграда ДП во површина од 410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листВ од Имотен лист бр.5680 за КО Бистренци при Одделение за катастар на недвижности Неготино сопственост на должникот </w:t>
      </w:r>
      <w:r w:rsidR="00D76BD9">
        <w:rPr>
          <w:rFonts w:ascii="Arial" w:hAnsi="Arial" w:cs="Arial"/>
        </w:rPr>
        <w:t xml:space="preserve">Друштво за агрикултура и фармација СЕЈФ ФАРМА ДООЕЛ увоз-извоз с.Бистренци Демир Капија од Демир Капија со </w:t>
      </w:r>
      <w:r w:rsidR="00D76BD9">
        <w:rPr>
          <w:rFonts w:ascii="Arial" w:hAnsi="Arial" w:cs="Arial"/>
          <w:lang w:val="ru-RU"/>
        </w:rPr>
        <w:t>седиште на</w:t>
      </w:r>
      <w:r w:rsidR="00D76BD9">
        <w:rPr>
          <w:rFonts w:ascii="Arial" w:hAnsi="Arial" w:cs="Arial"/>
        </w:rPr>
        <w:t xml:space="preserve"> Населено место без уличен бб Бистренци </w:t>
      </w:r>
    </w:p>
    <w:p w:rsidR="00992145" w:rsidRDefault="00992145" w:rsidP="009921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Како и на:</w:t>
      </w:r>
    </w:p>
    <w:p w:rsidR="00992145" w:rsidRPr="00E476B8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-6516/7786 од КП бр.760 </w:t>
      </w:r>
      <w:r>
        <w:rPr>
          <w:rFonts w:ascii="Arial" w:hAnsi="Arial" w:cs="Arial"/>
        </w:rPr>
        <w:t>викано место/улица ПОДНИЦИ катастарска култура ЗЗ Н класа 4 во површина од 7.786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Б од Имотен лист бр.5690 за КО Бистренци при Одделение за катастар на недвижности Неготино сосопственост на должникот </w:t>
      </w:r>
      <w:r w:rsidR="00D76BD9">
        <w:rPr>
          <w:rFonts w:ascii="Arial" w:hAnsi="Arial" w:cs="Arial"/>
        </w:rPr>
        <w:t xml:space="preserve">Друштво за агрикултура и фармација СЕЈФ ФАРМА ДООЕЛ увоз-извоз с.Бистренци Демир Капија од Демир Капија со </w:t>
      </w:r>
      <w:r w:rsidR="00D76BD9">
        <w:rPr>
          <w:rFonts w:ascii="Arial" w:hAnsi="Arial" w:cs="Arial"/>
          <w:lang w:val="ru-RU"/>
        </w:rPr>
        <w:t>седиште на</w:t>
      </w:r>
      <w:r w:rsidR="00D76BD9">
        <w:rPr>
          <w:rFonts w:ascii="Arial" w:hAnsi="Arial" w:cs="Arial"/>
        </w:rPr>
        <w:t xml:space="preserve"> Населено место без уличен бб Бистренци.</w:t>
      </w:r>
      <w:r w:rsidRPr="00E476B8">
        <w:rPr>
          <w:rFonts w:ascii="Arial" w:eastAsia="Times New Roman" w:hAnsi="Arial" w:cs="Arial"/>
        </w:rPr>
        <w:t xml:space="preserve"> 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D76BD9">
        <w:rPr>
          <w:rFonts w:ascii="Arial" w:eastAsia="Times New Roman" w:hAnsi="Arial" w:cs="Arial"/>
          <w:b/>
        </w:rPr>
        <w:t>09.07</w:t>
      </w:r>
      <w:r>
        <w:rPr>
          <w:rFonts w:ascii="Arial" w:eastAsia="Times New Roman" w:hAnsi="Arial" w:cs="Arial"/>
          <w:b/>
        </w:rPr>
        <w:t>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утврдена со заклучок од 12.06.2025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>
        <w:rPr>
          <w:rFonts w:ascii="Arial" w:hAnsi="Arial" w:cs="Arial"/>
          <w:b/>
        </w:rPr>
        <w:t>2.905.351,00 денари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недвижностите не може да се продадат на првото јавно наддавање. </w:t>
      </w:r>
    </w:p>
    <w:p w:rsidR="00992145" w:rsidRDefault="00992145" w:rsidP="00992145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>–</w:t>
      </w:r>
      <w:r>
        <w:rPr>
          <w:rFonts w:ascii="Arial" w:eastAsia="Times New Roman" w:hAnsi="Arial" w:cs="Arial"/>
        </w:rPr>
        <w:t xml:space="preserve"> Налог за и</w:t>
      </w:r>
      <w:r w:rsidR="00E7258D">
        <w:rPr>
          <w:rFonts w:ascii="Arial" w:eastAsia="Times New Roman" w:hAnsi="Arial" w:cs="Arial"/>
        </w:rPr>
        <w:t>звршување врз недвижност И.бр.</w:t>
      </w:r>
      <w:r w:rsidR="00E7258D">
        <w:rPr>
          <w:rFonts w:ascii="Arial" w:eastAsia="Times New Roman" w:hAnsi="Arial" w:cs="Arial"/>
          <w:lang w:val="en-US"/>
        </w:rPr>
        <w:t>1022</w:t>
      </w:r>
      <w:r>
        <w:rPr>
          <w:rFonts w:ascii="Arial" w:eastAsia="Times New Roman" w:hAnsi="Arial" w:cs="Arial"/>
        </w:rPr>
        <w:t>/2023 на Извршител Љупчо Јованов од Кавадарци</w:t>
      </w:r>
      <w:r w:rsidR="00E7258D">
        <w:rPr>
          <w:rFonts w:ascii="Arial" w:eastAsia="Times New Roman" w:hAnsi="Arial" w:cs="Arial"/>
          <w:lang w:val="en-US"/>
        </w:rPr>
        <w:t xml:space="preserve">, </w:t>
      </w:r>
      <w:r w:rsidR="00E7258D">
        <w:rPr>
          <w:rFonts w:ascii="Arial" w:eastAsia="Times New Roman" w:hAnsi="Arial" w:cs="Arial"/>
        </w:rPr>
        <w:t>Налог за извршување кај пристапување кон извршување И.бр.1958/2023 на Извршител Благој Бањански од Неготино, Налог за извршување кај пристапување кон извршување И.бр.293/2025 на Извршител Васко Еленов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:rsidR="00992145" w:rsidRPr="00211393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8C2190">
        <w:rPr>
          <w:rFonts w:ascii="Arial" w:eastAsia="Times New Roman" w:hAnsi="Arial" w:cs="Arial"/>
          <w:b/>
          <w:lang w:val="en-US"/>
        </w:rPr>
        <w:t>290.535</w:t>
      </w:r>
      <w:r>
        <w:rPr>
          <w:rFonts w:ascii="Arial" w:eastAsia="Times New Roman" w:hAnsi="Arial" w:cs="Arial"/>
          <w:b/>
        </w:rPr>
        <w:t>,00 денари</w:t>
      </w:r>
      <w:r>
        <w:rPr>
          <w:rFonts w:ascii="Arial" w:eastAsia="Times New Roman" w:hAnsi="Arial" w:cs="Arial"/>
        </w:rPr>
        <w:t>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300040000185110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 xml:space="preserve">Комерцијална Банка АД Скопје </w:t>
      </w:r>
      <w:r>
        <w:rPr>
          <w:rFonts w:ascii="Arial" w:eastAsia="Times New Roman" w:hAnsi="Arial" w:cs="Arial"/>
        </w:rPr>
        <w:t>најдоцна 1(еден) ден пред продажбата.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992145" w:rsidRDefault="00992145" w:rsidP="0099214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E7258D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D76BD9">
        <w:rPr>
          <w:rFonts w:ascii="Arial" w:hAnsi="Arial" w:cs="Arial"/>
        </w:rPr>
        <w:t xml:space="preserve"> </w:t>
      </w:r>
      <w:r w:rsidRPr="00E7258D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E7258D" w:rsidTr="00992145">
        <w:trPr>
          <w:trHeight w:val="851"/>
        </w:trPr>
        <w:tc>
          <w:tcPr>
            <w:tcW w:w="4297" w:type="dxa"/>
          </w:tcPr>
          <w:p w:rsidR="00952FAA" w:rsidRPr="00E7258D" w:rsidRDefault="00992145" w:rsidP="007C56A7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proofErr w:type="spellStart"/>
            <w:r w:rsidRPr="00E7258D">
              <w:rPr>
                <w:rFonts w:ascii="Times New Roman" w:hAnsi="Times New Roman"/>
                <w:b/>
              </w:rPr>
              <w:t>Љупчо</w:t>
            </w:r>
            <w:proofErr w:type="spellEnd"/>
            <w:r w:rsidRPr="00E7258D">
              <w:rPr>
                <w:b/>
              </w:rPr>
              <w:t xml:space="preserve"> </w:t>
            </w:r>
            <w:proofErr w:type="spellStart"/>
            <w:r w:rsidRPr="00E7258D">
              <w:rPr>
                <w:rFonts w:ascii="Times New Roman" w:hAnsi="Times New Roman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76BD9" w:rsidRDefault="00952FAA" w:rsidP="007C56A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D76BD9" w:rsidRDefault="00D76BD9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992145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2" w:name="ODolz"/>
      <w:bookmarkStart w:id="13" w:name="OSudPouka"/>
      <w:bookmarkEnd w:id="12"/>
      <w:bookmarkEnd w:id="13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45" w:rsidRDefault="00992145" w:rsidP="00992145">
      <w:pPr>
        <w:spacing w:after="0" w:line="240" w:lineRule="auto"/>
      </w:pPr>
      <w:r>
        <w:separator/>
      </w:r>
    </w:p>
  </w:endnote>
  <w:endnote w:type="continuationSeparator" w:id="0">
    <w:p w:rsidR="00992145" w:rsidRDefault="00992145" w:rsidP="0099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45" w:rsidRPr="00992145" w:rsidRDefault="00992145" w:rsidP="0099214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732C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732C2">
      <w:rPr>
        <w:rFonts w:ascii="Arial" w:hAnsi="Arial" w:cs="Arial"/>
        <w:sz w:val="14"/>
      </w:rPr>
      <w:fldChar w:fldCharType="separate"/>
    </w:r>
    <w:r w:rsidR="007C56A7">
      <w:rPr>
        <w:rFonts w:ascii="Arial" w:hAnsi="Arial" w:cs="Arial"/>
        <w:noProof/>
        <w:sz w:val="14"/>
      </w:rPr>
      <w:t>1</w:t>
    </w:r>
    <w:r w:rsidR="002732C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45" w:rsidRDefault="00992145" w:rsidP="00992145">
      <w:pPr>
        <w:spacing w:after="0" w:line="240" w:lineRule="auto"/>
      </w:pPr>
      <w:r>
        <w:separator/>
      </w:r>
    </w:p>
  </w:footnote>
  <w:footnote w:type="continuationSeparator" w:id="0">
    <w:p w:rsidR="00992145" w:rsidRDefault="00992145" w:rsidP="00992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11664C"/>
    <w:rsid w:val="00215D6D"/>
    <w:rsid w:val="002732C2"/>
    <w:rsid w:val="002920F4"/>
    <w:rsid w:val="00296C6B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D2B87"/>
    <w:rsid w:val="00516120"/>
    <w:rsid w:val="00525813"/>
    <w:rsid w:val="00643D0E"/>
    <w:rsid w:val="00660FFC"/>
    <w:rsid w:val="00686B14"/>
    <w:rsid w:val="006920B5"/>
    <w:rsid w:val="006A534E"/>
    <w:rsid w:val="006F50F6"/>
    <w:rsid w:val="007128EE"/>
    <w:rsid w:val="00745193"/>
    <w:rsid w:val="00761A25"/>
    <w:rsid w:val="007C56A7"/>
    <w:rsid w:val="007E40D4"/>
    <w:rsid w:val="00857E59"/>
    <w:rsid w:val="00893643"/>
    <w:rsid w:val="008C2190"/>
    <w:rsid w:val="008D04B0"/>
    <w:rsid w:val="008D558A"/>
    <w:rsid w:val="00952FAA"/>
    <w:rsid w:val="00992145"/>
    <w:rsid w:val="009E438D"/>
    <w:rsid w:val="00A12EA6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61343"/>
    <w:rsid w:val="00C741E8"/>
    <w:rsid w:val="00C7755D"/>
    <w:rsid w:val="00CE609B"/>
    <w:rsid w:val="00D462FE"/>
    <w:rsid w:val="00D53FDC"/>
    <w:rsid w:val="00D76BD9"/>
    <w:rsid w:val="00DA6D93"/>
    <w:rsid w:val="00E17133"/>
    <w:rsid w:val="00E41120"/>
    <w:rsid w:val="00E42960"/>
    <w:rsid w:val="00E7258D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92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1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92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14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2025-06-20T08:58:00Z</cp:lastPrinted>
  <dcterms:created xsi:type="dcterms:W3CDTF">2025-06-20T09:00:00Z</dcterms:created>
  <dcterms:modified xsi:type="dcterms:W3CDTF">2025-06-20T09:01:00Z</dcterms:modified>
</cp:coreProperties>
</file>