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9322"/>
      </w:tblGrid>
      <w:tr w:rsidR="008739E4" w:rsidRPr="008739E4" w:rsidTr="008739E4">
        <w:tc>
          <w:tcPr>
            <w:tcW w:w="566" w:type="dxa"/>
          </w:tcPr>
          <w:p w:rsidR="008739E4" w:rsidRPr="008739E4" w:rsidRDefault="008739E4" w:rsidP="004358F7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8739E4" w:rsidRPr="008739E4" w:rsidRDefault="008739E4" w:rsidP="004358F7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8739E4" w:rsidRPr="008739E4" w:rsidRDefault="008739E4" w:rsidP="004358F7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739E4" w:rsidRPr="008739E4" w:rsidTr="008739E4">
        <w:tc>
          <w:tcPr>
            <w:tcW w:w="566" w:type="dxa"/>
          </w:tcPr>
          <w:p w:rsidR="008739E4" w:rsidRPr="008739E4" w:rsidRDefault="008739E4" w:rsidP="004358F7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993" w:type="dxa"/>
          </w:tcPr>
          <w:p w:rsidR="008739E4" w:rsidRPr="008739E4" w:rsidRDefault="008739E4" w:rsidP="004358F7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  <w:hideMark/>
          </w:tcPr>
          <w:p w:rsidR="008739E4" w:rsidRPr="008739E4" w:rsidRDefault="008739E4" w:rsidP="004358F7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8739E4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И.бр</w:t>
            </w:r>
            <w:r w:rsidRPr="008739E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2" w:name="Ibr"/>
            <w:bookmarkEnd w:id="2"/>
            <w:r w:rsidRPr="008739E4">
              <w:rPr>
                <w:rFonts w:ascii="Arial" w:eastAsia="Times New Roman" w:hAnsi="Arial" w:cs="Arial"/>
                <w:b/>
                <w:sz w:val="21"/>
                <w:szCs w:val="21"/>
              </w:rPr>
              <w:t>1785/2023</w:t>
            </w:r>
            <w:r w:rsidRPr="008739E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739E4" w:rsidRPr="008739E4" w:rsidTr="008739E4">
        <w:tc>
          <w:tcPr>
            <w:tcW w:w="566" w:type="dxa"/>
          </w:tcPr>
          <w:p w:rsidR="008739E4" w:rsidRPr="008739E4" w:rsidRDefault="008739E4" w:rsidP="004358F7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</w:p>
        </w:tc>
        <w:tc>
          <w:tcPr>
            <w:tcW w:w="993" w:type="dxa"/>
          </w:tcPr>
          <w:p w:rsidR="008739E4" w:rsidRPr="008739E4" w:rsidRDefault="008739E4" w:rsidP="004358F7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8739E4" w:rsidRPr="008739E4" w:rsidRDefault="008739E4" w:rsidP="004358F7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8739E4" w:rsidRDefault="008739E4" w:rsidP="00873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4" w:name="OAdresaIzv"/>
      <w:bookmarkStart w:id="5" w:name="tel"/>
      <w:bookmarkEnd w:id="4"/>
      <w:bookmarkEnd w:id="5"/>
      <w:r w:rsidRPr="008739E4">
        <w:rPr>
          <w:rFonts w:ascii="Arial" w:hAnsi="Arial" w:cs="Arial"/>
          <w:sz w:val="21"/>
          <w:szCs w:val="21"/>
        </w:rPr>
        <w:t xml:space="preserve">Димитар Наумоски како заменик на Извршителот </w:t>
      </w:r>
      <w:bookmarkStart w:id="6" w:name="Izvrsitel"/>
      <w:bookmarkEnd w:id="6"/>
      <w:r w:rsidRPr="008739E4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7" w:name="Adresa"/>
      <w:bookmarkEnd w:id="7"/>
      <w:r w:rsidRPr="008739E4">
        <w:rPr>
          <w:rFonts w:ascii="Arial" w:hAnsi="Arial" w:cs="Arial"/>
          <w:sz w:val="21"/>
          <w:szCs w:val="21"/>
        </w:rPr>
        <w:t xml:space="preserve">Скопје, ул.Њуделхиска бр.4-2/1 врз основа на барањето за спроведување на извршување од </w:t>
      </w:r>
      <w:bookmarkStart w:id="8" w:name="Doveritel1"/>
      <w:bookmarkEnd w:id="8"/>
      <w:r w:rsidRPr="008739E4">
        <w:rPr>
          <w:rFonts w:ascii="Arial" w:hAnsi="Arial" w:cs="Arial"/>
          <w:sz w:val="21"/>
          <w:szCs w:val="21"/>
        </w:rPr>
        <w:t xml:space="preserve">доверителот КАПИТАЛ БАНКА АД Скопје со </w:t>
      </w:r>
      <w:bookmarkStart w:id="9" w:name="opis_edb1"/>
      <w:bookmarkEnd w:id="9"/>
      <w:r w:rsidRPr="008739E4">
        <w:rPr>
          <w:rFonts w:ascii="Arial" w:hAnsi="Arial" w:cs="Arial"/>
          <w:sz w:val="21"/>
          <w:szCs w:val="21"/>
        </w:rPr>
        <w:t xml:space="preserve">ЕДБ 4030996254241 и ЕМБС 5111056 </w:t>
      </w:r>
      <w:bookmarkStart w:id="10" w:name="edb1"/>
      <w:bookmarkStart w:id="11" w:name="opis_sed1"/>
      <w:bookmarkEnd w:id="10"/>
      <w:bookmarkEnd w:id="11"/>
      <w:r w:rsidRPr="008739E4">
        <w:rPr>
          <w:rFonts w:ascii="Arial" w:hAnsi="Arial" w:cs="Arial"/>
          <w:sz w:val="21"/>
          <w:szCs w:val="21"/>
        </w:rPr>
        <w:t xml:space="preserve">и седиште на </w:t>
      </w:r>
      <w:bookmarkStart w:id="12" w:name="adresa1"/>
      <w:bookmarkEnd w:id="12"/>
      <w:r w:rsidRPr="008739E4">
        <w:rPr>
          <w:rFonts w:ascii="Arial" w:hAnsi="Arial" w:cs="Arial"/>
          <w:sz w:val="21"/>
          <w:szCs w:val="21"/>
        </w:rPr>
        <w:t>ул.Никола Кљусев бр.1</w:t>
      </w:r>
      <w:r w:rsidRPr="008739E4">
        <w:rPr>
          <w:rFonts w:ascii="Arial" w:hAnsi="Arial" w:cs="Arial"/>
          <w:sz w:val="21"/>
          <w:szCs w:val="21"/>
          <w:lang w:val="ru-RU"/>
        </w:rPr>
        <w:t>,</w:t>
      </w:r>
      <w:r w:rsidRPr="008739E4">
        <w:rPr>
          <w:rFonts w:ascii="Arial" w:hAnsi="Arial" w:cs="Arial"/>
          <w:sz w:val="21"/>
          <w:szCs w:val="21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739E4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7" w:name="IzvIsprava"/>
      <w:bookmarkEnd w:id="17"/>
      <w:r w:rsidRPr="008739E4">
        <w:rPr>
          <w:rFonts w:ascii="Arial" w:hAnsi="Arial" w:cs="Arial"/>
          <w:sz w:val="21"/>
          <w:szCs w:val="21"/>
        </w:rPr>
        <w:t xml:space="preserve">Нотарски акт ОДУ бр.288/19 од 28.02.2019 година на Нотар Ана Брашнарска од Скопје, против </w:t>
      </w:r>
      <w:bookmarkStart w:id="18" w:name="Dolznik1"/>
      <w:bookmarkEnd w:id="18"/>
      <w:r w:rsidRPr="008739E4">
        <w:rPr>
          <w:rFonts w:ascii="Arial" w:hAnsi="Arial" w:cs="Arial"/>
          <w:sz w:val="21"/>
          <w:szCs w:val="21"/>
        </w:rPr>
        <w:t xml:space="preserve">должниците Џељаљ Идризи од Тетово со живеалиште на ул.Ван Вардарска бр.6 и Друштво за производство, градежништво, трговија и услуги МОНТЕКО СОМПАНИ ДООЕЛ експорт-импорт Тетово со </w:t>
      </w:r>
      <w:bookmarkStart w:id="19" w:name="opis_edb1_dolz"/>
      <w:bookmarkEnd w:id="19"/>
      <w:r w:rsidRPr="008739E4">
        <w:rPr>
          <w:rFonts w:ascii="Arial" w:hAnsi="Arial" w:cs="Arial"/>
          <w:sz w:val="21"/>
          <w:szCs w:val="21"/>
        </w:rPr>
        <w:t>ЕДБ 4028008504632 и ЕМБС 6372740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Start w:id="23" w:name="adresa1_dolz"/>
      <w:bookmarkEnd w:id="20"/>
      <w:bookmarkEnd w:id="21"/>
      <w:bookmarkEnd w:id="22"/>
      <w:bookmarkEnd w:id="23"/>
      <w:r w:rsidRPr="008739E4">
        <w:rPr>
          <w:rFonts w:ascii="Arial" w:hAnsi="Arial" w:cs="Arial"/>
          <w:sz w:val="21"/>
          <w:szCs w:val="21"/>
        </w:rPr>
        <w:t xml:space="preserve">и седиште на ул.Ван Вардарска бр.6, </w:t>
      </w:r>
      <w:bookmarkStart w:id="24" w:name="Dolznik2"/>
      <w:bookmarkEnd w:id="24"/>
      <w:r w:rsidRPr="008739E4">
        <w:rPr>
          <w:rFonts w:ascii="Arial" w:hAnsi="Arial" w:cs="Arial"/>
          <w:sz w:val="21"/>
          <w:szCs w:val="21"/>
        </w:rPr>
        <w:t xml:space="preserve">за спроведување на извршување, </w:t>
      </w:r>
      <w:bookmarkStart w:id="25" w:name="VredPredmet"/>
      <w:bookmarkEnd w:id="25"/>
      <w:r w:rsidRPr="008739E4">
        <w:rPr>
          <w:rFonts w:ascii="Arial" w:hAnsi="Arial" w:cs="Arial"/>
          <w:sz w:val="21"/>
          <w:szCs w:val="21"/>
        </w:rPr>
        <w:t xml:space="preserve">на ден </w:t>
      </w:r>
      <w:bookmarkStart w:id="26" w:name="DatumIzdava"/>
      <w:bookmarkEnd w:id="26"/>
      <w:r w:rsidRPr="008739E4">
        <w:rPr>
          <w:rFonts w:ascii="Arial" w:hAnsi="Arial" w:cs="Arial"/>
          <w:sz w:val="21"/>
          <w:szCs w:val="21"/>
        </w:rPr>
        <w:t>23.11.2023 година го донесува следниот:</w:t>
      </w:r>
    </w:p>
    <w:p w:rsidR="008739E4" w:rsidRPr="008739E4" w:rsidRDefault="008739E4" w:rsidP="00873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9E4" w:rsidRPr="008739E4" w:rsidRDefault="008739E4" w:rsidP="00873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9E4" w:rsidRPr="008739E4" w:rsidRDefault="008739E4" w:rsidP="008739E4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8739E4">
        <w:rPr>
          <w:rFonts w:ascii="Arial" w:hAnsi="Arial" w:cs="Arial"/>
          <w:b/>
          <w:sz w:val="21"/>
          <w:szCs w:val="21"/>
        </w:rPr>
        <w:t>З А К Л У Ч О К</w:t>
      </w:r>
    </w:p>
    <w:p w:rsidR="008739E4" w:rsidRPr="008739E4" w:rsidRDefault="008739E4" w:rsidP="008739E4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8739E4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8739E4" w:rsidRPr="008739E4" w:rsidRDefault="008739E4" w:rsidP="008739E4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8739E4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8739E4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8739E4">
        <w:rPr>
          <w:rFonts w:ascii="Arial" w:hAnsi="Arial" w:cs="Arial"/>
          <w:b/>
          <w:sz w:val="21"/>
          <w:szCs w:val="21"/>
        </w:rPr>
        <w:t>)</w:t>
      </w:r>
    </w:p>
    <w:p w:rsidR="008739E4" w:rsidRPr="008739E4" w:rsidRDefault="008739E4" w:rsidP="00873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9E4" w:rsidRPr="008739E4" w:rsidRDefault="008739E4" w:rsidP="00873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739E4">
        <w:rPr>
          <w:rFonts w:ascii="Arial" w:hAnsi="Arial" w:cs="Arial"/>
          <w:sz w:val="21"/>
          <w:szCs w:val="21"/>
        </w:rPr>
        <w:t>СЕ ОПРЕДЕЛУВА продажба со усно јавно наддавање на недвижноста означена како: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Стан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1, кат К1,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62 м2, запишана во Имотен лист бр.38902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Помошни површини (тераса, лоѓија, балкон),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кои лежат на КП 5513 дел 3 на адреса УЛ.ВАН ВАРДАРСКА ББ, бр.на зграда 1, влез 1, кат К1,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8 м2, запишана во Имотен лист бр.38902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Помошни површини (тераса, лоѓија, балкон),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кои лежат на КП 5513 дел 3 на адреса УЛ.ВАН ВАРДАРСКА ББ, бр.на зграда 1, влез 1, кат К2,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8 м2, запишана во Имотен лист бр.38902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Стан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1, кат К2,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62 м2, запишана во Имотен лист бр.38902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Стан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1, кат К3,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62 м2, запишана во Имотен лист бр.38902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Помошни површини (тераса, лоѓија, балкон),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кои лежат на КП 5513 дел 3 на адреса УЛ.ВАН ВАРДАРСКА ББ, бр.на зграда 1, влез 1, кат К3,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8 м2, запишана во Имотен лист бр.38902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Помошна просторија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која лежи на КП 5513 дел 3 на адреса УЛ.ВАН ВАРДАРСКА ББ, бр.на зграда 1, влез 1, кат ПО,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170 м2, запишана во Имотен лист бр.38902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Стан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1, кат ПР,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17 м2, запишана во Имотен лист бр.38902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Помошни површини (тераса, лоѓија, балкон),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кои лежат на КП 5513 дел 3 на адреса УЛ.ВАН ВАРДАРСКА ББ, бр.на зграда 1, влез 1, кат ПР,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24 м2, запишана во Имотен лист бр.38902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Стан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2, кат К1,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63 м2, запишана во Имотен лист бр.38902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Помошни површини (тераса, лоѓија, балкон),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кои лежат на КП 5513 дел 3 на адреса УЛ.ВАН ВАРДАРСКА ББ, бр.на зграда 1, влез 2, кат К1,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8 м2, запишана во Имотен лист бр.38902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Стан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2, кат К2,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63 м2, запишана во Имотен лист бр.38902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Помошни површини (тераса, лоѓија, балкон),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кои лежат на КП 5513 дел 3 на адреса УЛ.ВАН ВАРДАРСКА ББ, бр.на зграда 1, влез 2, кат К2,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8 м2, запишана во Имотен лист бр.38902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Помошни површини (тераса, лоѓија, балкон),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кои лежат на КП 5513 дел 3 на адреса УЛ.ВАН ВАРДАРСКА ББ, бр.на зграда 1, влез 2, кат К3,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8 м2, запишана во Имотен лист бр.38902 за КО Тетово 2 при АКН на РСМ – ЦКН Тетово,</w:t>
      </w:r>
    </w:p>
    <w:p w:rsidR="008739E4" w:rsidRDefault="008739E4" w:rsidP="00873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8739E4" w:rsidRDefault="008739E4" w:rsidP="00873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8739E4" w:rsidRPr="008739E4" w:rsidRDefault="008739E4" w:rsidP="00873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Стан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2, кат К3,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63 м2, запишана во Имотен лист бр.38902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Помошни површини (тераса, лоѓија, балкон),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кои лежат на КП 5513 дел 3 на адреса УЛ.ВАН ВАРДАРСКА ББ, бр.на зграда 1, влез 2, кат ПР,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3 м2, запишана во Имотен лист бр.38902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Стан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2, кат ПР,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88 м2, запишана во Имотен лист бр.38902 за КО Тетово 2 при АКН на РСМ – ЦКН Тетово,</w:t>
      </w:r>
    </w:p>
    <w:p w:rsidR="008739E4" w:rsidRPr="00F37B7F" w:rsidRDefault="008739E4" w:rsidP="00F37B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 xml:space="preserve">Стан 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3, кат ПР, број 1, </w:t>
      </w:r>
      <w:r w:rsidRPr="008739E4">
        <w:rPr>
          <w:rFonts w:ascii="Arial" w:hAnsi="Arial" w:cs="Arial"/>
          <w:sz w:val="21"/>
          <w:szCs w:val="21"/>
        </w:rPr>
        <w:t>во вкупна површина од 9 м2, запишана во Имотен лист бр.38902 за КО Тетово 2 при АКН на РСМ – ЦКН Тетово,</w:t>
      </w:r>
    </w:p>
    <w:p w:rsidR="008739E4" w:rsidRPr="008739E4" w:rsidRDefault="008739E4" w:rsidP="00873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739E4">
        <w:rPr>
          <w:rFonts w:ascii="Arial" w:hAnsi="Arial" w:cs="Arial"/>
          <w:sz w:val="21"/>
          <w:szCs w:val="21"/>
        </w:rPr>
        <w:t>како и недвижноста означена како: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739E4">
        <w:rPr>
          <w:rFonts w:ascii="Arial" w:hAnsi="Arial" w:cs="Arial"/>
          <w:sz w:val="21"/>
          <w:szCs w:val="21"/>
        </w:rPr>
        <w:t>Земјиште под зграда кое лежи на КП 5513 дел 3 на викано место ГРАД, со вкупна површина од 147 м2 запишано во Имотен лист бр.34518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739E4">
        <w:rPr>
          <w:rFonts w:ascii="Arial" w:hAnsi="Arial" w:cs="Arial"/>
          <w:sz w:val="21"/>
          <w:szCs w:val="21"/>
        </w:rPr>
        <w:t>Двор кој лежи на КП 5513 дел 3 на викано место ГРАД, со вкупна површина од 434 м2 запишан во Имотен лист бр.34518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739E4">
        <w:rPr>
          <w:rFonts w:ascii="Arial" w:hAnsi="Arial" w:cs="Arial"/>
          <w:sz w:val="21"/>
          <w:szCs w:val="21"/>
          <w:lang w:val="ru-RU"/>
        </w:rPr>
        <w:t xml:space="preserve">ХС кој лежи на КП 5513 дел 3, на адреса </w:t>
      </w:r>
      <w:r w:rsidRPr="008739E4">
        <w:rPr>
          <w:rFonts w:ascii="Arial" w:hAnsi="Arial" w:cs="Arial"/>
          <w:sz w:val="21"/>
          <w:szCs w:val="21"/>
        </w:rPr>
        <w:t>УЛ.ВАН ВАРДАРСКА ББ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, бр.на зграда 1, влез 1, </w:t>
      </w:r>
      <w:r w:rsidRPr="008739E4">
        <w:rPr>
          <w:rFonts w:ascii="Arial" w:hAnsi="Arial" w:cs="Arial"/>
          <w:sz w:val="21"/>
          <w:szCs w:val="21"/>
        </w:rPr>
        <w:t>во вкупна површина од 60 м2, запишан во Имотен лист бр.34518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739E4">
        <w:rPr>
          <w:rFonts w:ascii="Arial" w:hAnsi="Arial" w:cs="Arial"/>
          <w:sz w:val="21"/>
          <w:szCs w:val="21"/>
          <w:lang w:val="ru-RU"/>
        </w:rPr>
        <w:t xml:space="preserve">ХС кој лежи на КП 5513 дел 3, на адреса </w:t>
      </w:r>
      <w:r w:rsidRPr="008739E4">
        <w:rPr>
          <w:rFonts w:ascii="Arial" w:hAnsi="Arial" w:cs="Arial"/>
          <w:sz w:val="21"/>
          <w:szCs w:val="21"/>
        </w:rPr>
        <w:t>УЛ.ВАН ВАРДАРСКА ББ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, бр.на зграда 1, влез 2, </w:t>
      </w:r>
      <w:r w:rsidRPr="008739E4">
        <w:rPr>
          <w:rFonts w:ascii="Arial" w:hAnsi="Arial" w:cs="Arial"/>
          <w:sz w:val="21"/>
          <w:szCs w:val="21"/>
        </w:rPr>
        <w:t>во вкупна површина од 45 м2, запишан во Имотен лист бр.34518 за КО Тетово 2 при АКН на РСМ – ЦКН Тетово,</w:t>
      </w:r>
    </w:p>
    <w:p w:rsidR="008739E4" w:rsidRPr="008739E4" w:rsidRDefault="008739E4" w:rsidP="00873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739E4">
        <w:rPr>
          <w:rFonts w:ascii="Arial" w:hAnsi="Arial" w:cs="Arial"/>
          <w:sz w:val="21"/>
          <w:szCs w:val="21"/>
          <w:lang w:val="ru-RU"/>
        </w:rPr>
        <w:t xml:space="preserve">ХС кој лежи на КП 5513 дел 3, на адреса </w:t>
      </w:r>
      <w:r w:rsidRPr="008739E4">
        <w:rPr>
          <w:rFonts w:ascii="Arial" w:hAnsi="Arial" w:cs="Arial"/>
          <w:sz w:val="21"/>
          <w:szCs w:val="21"/>
        </w:rPr>
        <w:t>УЛ.ВАН ВАРДАРСКА ББ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, бр.на зграда 1, влез 4, </w:t>
      </w:r>
      <w:r w:rsidRPr="008739E4">
        <w:rPr>
          <w:rFonts w:ascii="Arial" w:hAnsi="Arial" w:cs="Arial"/>
          <w:sz w:val="21"/>
          <w:szCs w:val="21"/>
        </w:rPr>
        <w:t>во вкупна површина од 16 м2, запишан во Имотен лист бр.34518 за КО Тетово 2 при АКН на РСМ – ЦКН Тетово</w:t>
      </w:r>
      <w:r w:rsidRPr="008739E4">
        <w:rPr>
          <w:rFonts w:ascii="Arial" w:hAnsi="Arial" w:cs="Arial"/>
          <w:b/>
          <w:bCs/>
          <w:sz w:val="21"/>
          <w:szCs w:val="21"/>
        </w:rPr>
        <w:t xml:space="preserve">, </w:t>
      </w:r>
      <w:r w:rsidRPr="008739E4">
        <w:rPr>
          <w:rFonts w:ascii="Arial" w:hAnsi="Arial" w:cs="Arial"/>
          <w:sz w:val="21"/>
          <w:szCs w:val="21"/>
        </w:rPr>
        <w:t xml:space="preserve">во </w:t>
      </w:r>
      <w:r w:rsidRPr="008739E4">
        <w:rPr>
          <w:rFonts w:ascii="Arial" w:eastAsia="Times New Roman" w:hAnsi="Arial" w:cs="Arial"/>
          <w:sz w:val="21"/>
          <w:szCs w:val="21"/>
        </w:rPr>
        <w:t xml:space="preserve">сопственост на </w:t>
      </w:r>
      <w:r w:rsidRPr="008739E4">
        <w:rPr>
          <w:rFonts w:ascii="Arial" w:hAnsi="Arial" w:cs="Arial"/>
          <w:sz w:val="21"/>
          <w:szCs w:val="21"/>
        </w:rPr>
        <w:t>должникот Џељаљ Идризи од Тетово со живеалиште на ул.Ван Вардарска бр.6.</w:t>
      </w:r>
    </w:p>
    <w:p w:rsidR="008739E4" w:rsidRPr="008739E4" w:rsidRDefault="008739E4" w:rsidP="00873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9E4" w:rsidRPr="008739E4" w:rsidRDefault="008739E4" w:rsidP="00873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739E4">
        <w:rPr>
          <w:rFonts w:ascii="Arial" w:hAnsi="Arial" w:cs="Arial"/>
          <w:sz w:val="21"/>
          <w:szCs w:val="21"/>
        </w:rPr>
        <w:t xml:space="preserve">Продажбата ќе се одржи на ден 13.12.2023 година во 12:00 часот во просториите на извршител Андреја Буневски од Скопје, </w:t>
      </w:r>
      <w:proofErr w:type="spellStart"/>
      <w:r w:rsidRPr="008739E4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8739E4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8739E4">
        <w:rPr>
          <w:rFonts w:ascii="Arial" w:hAnsi="Arial" w:cs="Arial"/>
          <w:sz w:val="21"/>
          <w:szCs w:val="21"/>
        </w:rPr>
        <w:t xml:space="preserve">. Почетната вредност на недвижноста изнесува 11.500.000,00 денари, под која недвижноста неможе да се продаде на второто јавно наддавање. </w:t>
      </w:r>
    </w:p>
    <w:p w:rsidR="008739E4" w:rsidRPr="008739E4" w:rsidRDefault="008739E4" w:rsidP="00873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739E4">
        <w:rPr>
          <w:rFonts w:ascii="Arial" w:hAnsi="Arial" w:cs="Arial"/>
          <w:sz w:val="21"/>
          <w:szCs w:val="21"/>
        </w:rPr>
        <w:t xml:space="preserve">Недвижноста е оптоварена со следните товари и службености: </w:t>
      </w:r>
    </w:p>
    <w:p w:rsidR="008739E4" w:rsidRPr="008739E4" w:rsidRDefault="008739E4" w:rsidP="008739E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739E4">
        <w:rPr>
          <w:rFonts w:ascii="Arial" w:hAnsi="Arial" w:cs="Arial"/>
          <w:sz w:val="21"/>
          <w:szCs w:val="21"/>
        </w:rPr>
        <w:t>Заснована хипотека врз основа на Нотарски Акт-договор за засновање на заложно право ОДУ.бр.288/19 од 28.02.2019 година на Нотар Ана Брашнарска, за износ на побарување 320000 ЕМУ (</w:t>
      </w:r>
      <w:r w:rsidRPr="008739E4">
        <w:rPr>
          <w:rFonts w:ascii="Arial" w:hAnsi="Arial" w:cs="Arial"/>
          <w:sz w:val="21"/>
          <w:szCs w:val="21"/>
          <w:lang w:val="en-US"/>
        </w:rPr>
        <w:t>EU)</w:t>
      </w:r>
      <w:r w:rsidRPr="008739E4">
        <w:rPr>
          <w:rFonts w:ascii="Arial" w:hAnsi="Arial" w:cs="Arial"/>
          <w:sz w:val="21"/>
          <w:szCs w:val="21"/>
        </w:rPr>
        <w:t xml:space="preserve"> во корист на КАПИТАЛ БАНКА АД СКОПЈЕ,</w:t>
      </w:r>
    </w:p>
    <w:p w:rsidR="008739E4" w:rsidRPr="008739E4" w:rsidRDefault="008739E4" w:rsidP="008739E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739E4">
        <w:rPr>
          <w:rFonts w:ascii="Arial" w:hAnsi="Arial" w:cs="Arial"/>
          <w:sz w:val="21"/>
          <w:szCs w:val="21"/>
        </w:rPr>
        <w:t>Налог за извршување врз недвижност (врз основа на член 166 од законот за извршување) И.бр.1785/2023 од 27.06.2023 година на извршител Андреја Буневски.</w:t>
      </w:r>
    </w:p>
    <w:p w:rsidR="008739E4" w:rsidRPr="008739E4" w:rsidRDefault="008739E4" w:rsidP="008739E4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1"/>
          <w:szCs w:val="21"/>
          <w:lang w:val="ru-RU"/>
        </w:rPr>
      </w:pPr>
      <w:r w:rsidRPr="008739E4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8739E4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8739E4" w:rsidRPr="008739E4" w:rsidRDefault="008739E4" w:rsidP="008739E4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1"/>
          <w:szCs w:val="21"/>
        </w:rPr>
      </w:pPr>
      <w:r w:rsidRPr="008739E4">
        <w:rPr>
          <w:rFonts w:ascii="Arial" w:hAnsi="Arial" w:cs="Arial"/>
          <w:sz w:val="21"/>
          <w:szCs w:val="21"/>
          <w:lang w:val="ru-RU"/>
        </w:rPr>
        <w:t>На</w:t>
      </w:r>
      <w:r w:rsidRPr="008739E4">
        <w:rPr>
          <w:rFonts w:ascii="Arial" w:hAnsi="Arial" w:cs="Arial"/>
          <w:sz w:val="21"/>
          <w:szCs w:val="21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1.150.000,00 денари. Уплатата на паричните средства на име гаранција се врши на жиро сметката од извршителот со бр.270061142960293 депонент</w:t>
      </w:r>
      <w:r w:rsidRPr="008739E4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8739E4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</w:t>
      </w:r>
    </w:p>
    <w:p w:rsidR="008739E4" w:rsidRPr="008739E4" w:rsidRDefault="008739E4" w:rsidP="00873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739E4">
        <w:rPr>
          <w:rFonts w:ascii="Arial" w:hAnsi="Arial" w:cs="Arial"/>
          <w:sz w:val="21"/>
          <w:szCs w:val="21"/>
        </w:rPr>
        <w:t>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739E4" w:rsidRPr="008739E4" w:rsidRDefault="008739E4" w:rsidP="008739E4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739E4">
        <w:rPr>
          <w:rFonts w:ascii="Arial" w:hAnsi="Arial" w:cs="Arial"/>
          <w:sz w:val="21"/>
          <w:szCs w:val="21"/>
        </w:rPr>
        <w:tab/>
        <w:t xml:space="preserve">      Димитар Наумоски како заменик на</w:t>
      </w:r>
    </w:p>
    <w:p w:rsidR="008739E4" w:rsidRPr="008739E4" w:rsidRDefault="008739E4" w:rsidP="008739E4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739E4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Извршителот Андреја Буневски</w:t>
      </w:r>
    </w:p>
    <w:p w:rsidR="008739E4" w:rsidRPr="008739E4" w:rsidRDefault="008739E4" w:rsidP="008739E4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739E4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739E4" w:rsidRPr="008739E4" w:rsidTr="004358F7">
        <w:trPr>
          <w:trHeight w:val="851"/>
        </w:trPr>
        <w:tc>
          <w:tcPr>
            <w:tcW w:w="4297" w:type="dxa"/>
            <w:hideMark/>
          </w:tcPr>
          <w:p w:rsidR="008739E4" w:rsidRPr="008739E4" w:rsidRDefault="008739E4" w:rsidP="004358F7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7" w:name="OIzvIme"/>
            <w:bookmarkEnd w:id="27"/>
            <w:r w:rsidRPr="008739E4">
              <w:rPr>
                <w:rFonts w:ascii="Arial" w:hAnsi="Arial" w:cs="Arial"/>
                <w:sz w:val="21"/>
                <w:szCs w:val="21"/>
                <w:lang w:val="mk-MK"/>
              </w:rPr>
              <w:t xml:space="preserve">                    </w:t>
            </w:r>
          </w:p>
        </w:tc>
      </w:tr>
    </w:tbl>
    <w:p w:rsidR="008739E4" w:rsidRPr="008739E4" w:rsidRDefault="008739E4" w:rsidP="00873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sectPr w:rsidR="008739E4" w:rsidRPr="008739E4" w:rsidSect="008739E4">
      <w:footerReference w:type="default" r:id="rId8"/>
      <w:pgSz w:w="12240" w:h="15840"/>
      <w:pgMar w:top="142" w:right="474" w:bottom="0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82" w:rsidRDefault="003E4A82">
      <w:pPr>
        <w:spacing w:after="0" w:line="240" w:lineRule="auto"/>
      </w:pPr>
      <w:r>
        <w:separator/>
      </w:r>
    </w:p>
  </w:endnote>
  <w:endnote w:type="continuationSeparator" w:id="0">
    <w:p w:rsidR="003E4A82" w:rsidRDefault="003E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43" w:rsidRPr="00167A43" w:rsidRDefault="008739E4" w:rsidP="00167A4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E69E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82" w:rsidRDefault="003E4A82">
      <w:pPr>
        <w:spacing w:after="0" w:line="240" w:lineRule="auto"/>
      </w:pPr>
      <w:r>
        <w:separator/>
      </w:r>
    </w:p>
  </w:footnote>
  <w:footnote w:type="continuationSeparator" w:id="0">
    <w:p w:rsidR="003E4A82" w:rsidRDefault="003E4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7B50"/>
    <w:multiLevelType w:val="hybridMultilevel"/>
    <w:tmpl w:val="D046912E"/>
    <w:lvl w:ilvl="0" w:tplc="913417F8">
      <w:numFmt w:val="bullet"/>
      <w:lvlText w:val="-"/>
      <w:lvlJc w:val="left"/>
      <w:pPr>
        <w:ind w:left="2062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5D19"/>
    <w:multiLevelType w:val="hybridMultilevel"/>
    <w:tmpl w:val="C51656E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E4"/>
    <w:rsid w:val="003E4A82"/>
    <w:rsid w:val="003E69EC"/>
    <w:rsid w:val="00633609"/>
    <w:rsid w:val="008739E4"/>
    <w:rsid w:val="00982077"/>
    <w:rsid w:val="009B013B"/>
    <w:rsid w:val="00F3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39E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739E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9E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73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39E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739E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9E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7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Комора на извршители</cp:lastModifiedBy>
  <cp:revision>2</cp:revision>
  <dcterms:created xsi:type="dcterms:W3CDTF">2023-11-23T09:19:00Z</dcterms:created>
  <dcterms:modified xsi:type="dcterms:W3CDTF">2023-11-23T09:19:00Z</dcterms:modified>
</cp:coreProperties>
</file>