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181"/>
      </w:tblGrid>
      <w:tr w:rsidR="00A375EF" w:rsidRPr="00A375EF" w:rsidTr="00A375EF">
        <w:tc>
          <w:tcPr>
            <w:tcW w:w="566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"/>
            <w:bookmarkStart w:id="1" w:name="_GoBack"/>
            <w:bookmarkEnd w:id="0"/>
            <w:bookmarkEnd w:id="1"/>
          </w:p>
        </w:tc>
        <w:tc>
          <w:tcPr>
            <w:tcW w:w="993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81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75EF" w:rsidRPr="00A375EF" w:rsidTr="00A375EF">
        <w:trPr>
          <w:trHeight w:val="80"/>
        </w:trPr>
        <w:tc>
          <w:tcPr>
            <w:tcW w:w="566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AdresaIzv"/>
            <w:bookmarkEnd w:id="2"/>
          </w:p>
        </w:tc>
        <w:tc>
          <w:tcPr>
            <w:tcW w:w="993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81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75EF" w:rsidRPr="00A375EF" w:rsidTr="00A375EF">
        <w:tc>
          <w:tcPr>
            <w:tcW w:w="566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tel"/>
            <w:bookmarkEnd w:id="3"/>
          </w:p>
        </w:tc>
        <w:tc>
          <w:tcPr>
            <w:tcW w:w="993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81" w:type="dxa"/>
          </w:tcPr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A375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A375E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A375EF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A375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4" w:name="Ibr"/>
            <w:bookmarkEnd w:id="4"/>
            <w:r w:rsidRPr="00A375EF">
              <w:rPr>
                <w:rFonts w:ascii="Arial" w:eastAsia="Times New Roman" w:hAnsi="Arial" w:cs="Arial"/>
                <w:b/>
                <w:sz w:val="21"/>
                <w:szCs w:val="21"/>
              </w:rPr>
              <w:t>3890/2021</w:t>
            </w:r>
          </w:p>
          <w:p w:rsidR="00A375EF" w:rsidRPr="00A375EF" w:rsidRDefault="00A375EF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A375EF" w:rsidRPr="00A375EF" w:rsidRDefault="00A375EF" w:rsidP="00A375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A375EF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A375EF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7" w:name="Doveritel1"/>
      <w:bookmarkEnd w:id="7"/>
      <w:r w:rsidRPr="00A375EF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8" w:name="opis_edb1"/>
      <w:bookmarkEnd w:id="8"/>
      <w:r w:rsidRPr="00A375EF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9" w:name="edb1"/>
      <w:bookmarkStart w:id="10" w:name="opis_sed1"/>
      <w:bookmarkEnd w:id="9"/>
      <w:bookmarkEnd w:id="10"/>
      <w:r w:rsidRPr="00A375EF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A375EF">
        <w:rPr>
          <w:rFonts w:ascii="Arial" w:hAnsi="Arial" w:cs="Arial"/>
          <w:sz w:val="21"/>
          <w:szCs w:val="21"/>
        </w:rPr>
        <w:t>ул.Никола Кљусев бр.2</w:t>
      </w:r>
      <w:r w:rsidRPr="00A375EF">
        <w:rPr>
          <w:rFonts w:ascii="Arial" w:hAnsi="Arial" w:cs="Arial"/>
          <w:sz w:val="21"/>
          <w:szCs w:val="21"/>
          <w:lang w:val="ru-RU"/>
        </w:rPr>
        <w:t>,</w:t>
      </w:r>
      <w:r w:rsidRPr="00A375EF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A375EF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6" w:name="IzvIsprava"/>
      <w:bookmarkEnd w:id="16"/>
      <w:r w:rsidRPr="00A375EF">
        <w:rPr>
          <w:rFonts w:ascii="Arial" w:hAnsi="Arial" w:cs="Arial"/>
          <w:sz w:val="21"/>
          <w:szCs w:val="21"/>
        </w:rPr>
        <w:t xml:space="preserve">Нотарски Акт ОДУ.бр.503/18 од 28.03.2018 год. на Нотар Ана Брашнарска од Скопје и Нотарски Акт ОДУ.бр.653/19 од 09.05.2019 год. на Нотар Ана Брашнарска од Скопје, против </w:t>
      </w:r>
      <w:bookmarkStart w:id="17" w:name="Dolznik1"/>
      <w:bookmarkEnd w:id="17"/>
      <w:r w:rsidRPr="00A375EF">
        <w:rPr>
          <w:rFonts w:ascii="Arial" w:hAnsi="Arial" w:cs="Arial"/>
          <w:sz w:val="21"/>
          <w:szCs w:val="21"/>
        </w:rPr>
        <w:t xml:space="preserve">заложниот должник Зоран Столевски од </w:t>
      </w:r>
      <w:bookmarkStart w:id="18" w:name="DolzGrad1"/>
      <w:bookmarkEnd w:id="18"/>
      <w:r w:rsidRPr="00A375EF">
        <w:rPr>
          <w:rFonts w:ascii="Arial" w:hAnsi="Arial" w:cs="Arial"/>
          <w:sz w:val="21"/>
          <w:szCs w:val="21"/>
        </w:rPr>
        <w:t xml:space="preserve">Скопје со </w:t>
      </w:r>
      <w:bookmarkStart w:id="19" w:name="opis_edb1_dolz"/>
      <w:bookmarkEnd w:id="19"/>
      <w:r w:rsidRPr="00A375EF">
        <w:rPr>
          <w:rFonts w:ascii="Arial" w:hAnsi="Arial" w:cs="Arial"/>
          <w:sz w:val="21"/>
          <w:szCs w:val="21"/>
        </w:rPr>
        <w:t xml:space="preserve">живеалиште на ул.Орце Николов 178а, за спроведување на извршување, </w:t>
      </w:r>
      <w:bookmarkStart w:id="20" w:name="VredPredmet"/>
      <w:bookmarkEnd w:id="20"/>
      <w:r w:rsidRPr="00A375EF">
        <w:rPr>
          <w:rFonts w:ascii="Arial" w:hAnsi="Arial" w:cs="Arial"/>
          <w:sz w:val="21"/>
          <w:szCs w:val="21"/>
        </w:rPr>
        <w:t xml:space="preserve">на ден </w:t>
      </w:r>
      <w:bookmarkStart w:id="21" w:name="DatumIzdava"/>
      <w:bookmarkEnd w:id="21"/>
      <w:r w:rsidRPr="00A375EF">
        <w:rPr>
          <w:rFonts w:ascii="Arial" w:hAnsi="Arial" w:cs="Arial"/>
          <w:sz w:val="21"/>
          <w:szCs w:val="21"/>
        </w:rPr>
        <w:t xml:space="preserve">12.12.2023 година го донесува следниот:     </w:t>
      </w:r>
    </w:p>
    <w:p w:rsidR="00A375EF" w:rsidRPr="00A375EF" w:rsidRDefault="00A375EF" w:rsidP="00A375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 xml:space="preserve">  </w:t>
      </w:r>
    </w:p>
    <w:p w:rsidR="00A375EF" w:rsidRPr="00A375EF" w:rsidRDefault="00A375EF" w:rsidP="00A375EF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A375EF">
        <w:rPr>
          <w:rFonts w:ascii="Arial" w:hAnsi="Arial" w:cs="Arial"/>
          <w:b/>
          <w:sz w:val="21"/>
          <w:szCs w:val="21"/>
        </w:rPr>
        <w:t>З А К Л У Ч О К</w:t>
      </w:r>
    </w:p>
    <w:p w:rsidR="00A375EF" w:rsidRPr="00A375EF" w:rsidRDefault="00A375EF" w:rsidP="00A375EF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A375EF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A375EF" w:rsidRPr="00A375EF" w:rsidRDefault="00A375EF" w:rsidP="00A375EF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A375EF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A375EF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A375EF">
        <w:rPr>
          <w:rFonts w:ascii="Arial" w:hAnsi="Arial" w:cs="Arial"/>
          <w:b/>
          <w:sz w:val="21"/>
          <w:szCs w:val="21"/>
        </w:rPr>
        <w:t>)</w:t>
      </w:r>
    </w:p>
    <w:p w:rsidR="00A375EF" w:rsidRPr="00A375EF" w:rsidRDefault="00A375EF" w:rsidP="00A375E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A375EF">
        <w:rPr>
          <w:rFonts w:ascii="Arial" w:hAnsi="Arial" w:cs="Arial"/>
          <w:sz w:val="21"/>
          <w:szCs w:val="21"/>
        </w:rPr>
        <w:t>СЕ ОПРЕДЕЛУВА ПРВА ПРОДАЖБА со усно јавно наддавање на недвижностите означени како:</w:t>
      </w: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A375EF" w:rsidRPr="00A375EF" w:rsidRDefault="00A375EF" w:rsidP="00A37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A375EF">
        <w:rPr>
          <w:rFonts w:ascii="Arial" w:hAnsi="Arial" w:cs="Arial"/>
          <w:bCs/>
          <w:sz w:val="21"/>
          <w:szCs w:val="21"/>
        </w:rPr>
        <w:t>Стан на адреса О.НИКОЛОВ 178, со вкупна површина од 94 м² кој лежи на КП.бр.1995 зграда 1 влез 001 кат ПР број 001, запишани во Имотен Лист бр.83609 за КО Карпош при АКН – Центар за катастар на недвижности Скопје</w:t>
      </w:r>
      <w:r w:rsidRPr="00A375EF">
        <w:rPr>
          <w:rFonts w:ascii="Arial" w:hAnsi="Arial" w:cs="Arial"/>
          <w:sz w:val="21"/>
          <w:szCs w:val="21"/>
        </w:rPr>
        <w:t>.</w:t>
      </w:r>
    </w:p>
    <w:p w:rsidR="00A375EF" w:rsidRPr="00A375EF" w:rsidRDefault="00A375EF" w:rsidP="00A37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A375EF">
        <w:rPr>
          <w:rFonts w:ascii="Arial" w:hAnsi="Arial" w:cs="Arial"/>
          <w:bCs/>
          <w:sz w:val="21"/>
          <w:szCs w:val="21"/>
        </w:rPr>
        <w:t xml:space="preserve">Стан во семејна зграда на адреса КОНСКО, со вкупна површина од 85 м² кој лежи на КП.бр.2917 дел 1 зграда 1 влез 2 кат ПР број 1, запишани во Имотен Лист бр.1430 за КО </w:t>
      </w:r>
      <w:r w:rsidRPr="00A375EF">
        <w:rPr>
          <w:rFonts w:ascii="Arial" w:hAnsi="Arial" w:cs="Arial"/>
          <w:sz w:val="21"/>
          <w:szCs w:val="21"/>
        </w:rPr>
        <w:t>Коњско</w:t>
      </w:r>
      <w:r w:rsidRPr="00A375EF">
        <w:rPr>
          <w:rFonts w:ascii="Arial" w:hAnsi="Arial" w:cs="Arial"/>
          <w:bCs/>
          <w:sz w:val="21"/>
          <w:szCs w:val="21"/>
        </w:rPr>
        <w:t xml:space="preserve"> при АКН – Центар за катастар на недвижности Охрид и </w:t>
      </w:r>
      <w:r w:rsidRPr="00A375EF">
        <w:rPr>
          <w:rFonts w:ascii="Arial" w:hAnsi="Arial" w:cs="Arial"/>
          <w:sz w:val="21"/>
          <w:szCs w:val="21"/>
        </w:rPr>
        <w:t>Лоѓии, балкони и тераси</w:t>
      </w:r>
      <w:r w:rsidRPr="00A375EF">
        <w:rPr>
          <w:rFonts w:ascii="Arial" w:hAnsi="Arial" w:cs="Arial"/>
          <w:bCs/>
          <w:sz w:val="21"/>
          <w:szCs w:val="21"/>
        </w:rPr>
        <w:t xml:space="preserve"> на адреса КОНСКО, со вкупна површина од 34 м² кој лежи на КП.бр.2917 дел 1 зграда 1 влез 2 кат ПР број 1, запишани во Имотен Лист бр.1430 за КО </w:t>
      </w:r>
      <w:r w:rsidRPr="00A375EF">
        <w:rPr>
          <w:rFonts w:ascii="Arial" w:hAnsi="Arial" w:cs="Arial"/>
          <w:sz w:val="21"/>
          <w:szCs w:val="21"/>
        </w:rPr>
        <w:t>Коњско</w:t>
      </w:r>
      <w:r w:rsidRPr="00A375EF">
        <w:rPr>
          <w:rFonts w:ascii="Arial" w:hAnsi="Arial" w:cs="Arial"/>
          <w:bCs/>
          <w:sz w:val="21"/>
          <w:szCs w:val="21"/>
        </w:rPr>
        <w:t xml:space="preserve"> при АКН – Центар за катастар на недвижности Охрид.</w:t>
      </w: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>Продажбата ќе се одржи на ден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16.01.2024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proofErr w:type="spellStart"/>
      <w:r w:rsidRPr="00A375EF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A375EF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A375EF">
        <w:rPr>
          <w:rFonts w:ascii="Arial" w:eastAsia="Times New Roman" w:hAnsi="Arial" w:cs="Arial"/>
          <w:b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 xml:space="preserve">во Скопје. </w:t>
      </w: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>Почетната вредност на недвижноста под точка 1</w:t>
      </w:r>
      <w:r w:rsidRPr="00A375EF">
        <w:rPr>
          <w:rFonts w:ascii="Arial" w:hAnsi="Arial" w:cs="Arial"/>
          <w:sz w:val="21"/>
          <w:szCs w:val="21"/>
          <w:lang w:val="en-US"/>
        </w:rPr>
        <w:t>,</w:t>
      </w:r>
      <w:r w:rsidRPr="00A375EF">
        <w:rPr>
          <w:rFonts w:ascii="Arial" w:hAnsi="Arial" w:cs="Arial"/>
          <w:sz w:val="21"/>
          <w:szCs w:val="21"/>
        </w:rPr>
        <w:t xml:space="preserve"> утврдена со заклучок на извршителот,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изнесува 7.008.294,00 денари,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наддавање,</w:t>
      </w: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>Почетната вредност на недвижноста под точка 2, утврдена со заклучок на извршителот,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изнесува 3.868.418,00 денари,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наддавање,</w:t>
      </w:r>
    </w:p>
    <w:p w:rsid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>Недвижностите се оптоварени со следните товари и службености: Хипотека врз основа на извршна исправа - Нотарски Акт ОДУ.бр.503/18 од 28.03.2018 год. на Нотар Ана Брашнарска од Скопје и Нотарски Акт ОДУ.бр.653/19 од 09.05.2019 год. на Нотар Ана Брашнарска од Скопје за износ на побарување 12000000 Македонија (МКД) во корист на ЕУРОСТАНДАРД Банка АД Скопје-во стечај, Налог за извршување врз недвижност И.бр.3890/2021 од 27.10.2021 година на Извршител Андреја Буневски, Налог за извршување кај пристапување кон извршување И.бр.460/20 од 17.08.2022 година на Извршител Роза Родиќ, Налог за извршување кај пристапување кон извршување И.бр.224/23 од 21.02.2023 година на Извршител Никола Богатинов.</w:t>
      </w:r>
      <w:r>
        <w:rPr>
          <w:rFonts w:ascii="Arial" w:hAnsi="Arial" w:cs="Arial"/>
          <w:sz w:val="21"/>
          <w:szCs w:val="21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A375EF">
        <w:rPr>
          <w:rFonts w:ascii="Arial" w:hAnsi="Arial" w:cs="Arial"/>
          <w:sz w:val="21"/>
          <w:szCs w:val="21"/>
          <w:lang w:val="ru-RU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  <w:r>
        <w:rPr>
          <w:rFonts w:ascii="Arial" w:hAnsi="Arial" w:cs="Arial"/>
          <w:sz w:val="21"/>
          <w:szCs w:val="21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износ од 700.829,00 денари за недвижноста под точка 1,</w:t>
      </w:r>
      <w:r>
        <w:rPr>
          <w:rFonts w:ascii="Arial" w:hAnsi="Arial" w:cs="Arial"/>
          <w:sz w:val="21"/>
          <w:szCs w:val="21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износ од 386.842,00 денари за недвижноста под точка 2.</w:t>
      </w:r>
      <w:r>
        <w:rPr>
          <w:rFonts w:ascii="Arial" w:hAnsi="Arial" w:cs="Arial"/>
          <w:sz w:val="21"/>
          <w:szCs w:val="21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A375EF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A375EF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A375EF">
        <w:rPr>
          <w:rFonts w:ascii="Arial" w:hAnsi="Arial" w:cs="Arial"/>
          <w:sz w:val="21"/>
          <w:szCs w:val="21"/>
        </w:rPr>
        <w:tab/>
      </w:r>
    </w:p>
    <w:p w:rsidR="00A375EF" w:rsidRPr="00A375EF" w:rsidRDefault="00A375EF" w:rsidP="00A375EF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A375EF">
        <w:rPr>
          <w:rFonts w:ascii="Arial" w:hAnsi="Arial" w:cs="Arial"/>
          <w:sz w:val="21"/>
          <w:szCs w:val="21"/>
        </w:rPr>
        <w:t xml:space="preserve">        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 </w:t>
      </w:r>
      <w:r w:rsidRPr="00A375EF">
        <w:rPr>
          <w:rFonts w:ascii="Arial" w:hAnsi="Arial" w:cs="Arial"/>
          <w:sz w:val="21"/>
          <w:szCs w:val="21"/>
        </w:rPr>
        <w:t>И З В Р Ш И Т Е Л</w:t>
      </w:r>
    </w:p>
    <w:p w:rsidR="00A375EF" w:rsidRPr="00A375EF" w:rsidRDefault="00A375EF" w:rsidP="00A375EF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Андреја Буневски</w:t>
      </w:r>
      <w:r w:rsidRPr="00A375EF">
        <w:rPr>
          <w:rFonts w:ascii="Arial" w:hAnsi="Arial" w:cs="Arial"/>
          <w:sz w:val="21"/>
          <w:szCs w:val="21"/>
          <w:lang w:val="en-US"/>
        </w:rPr>
        <w:t xml:space="preserve">    </w:t>
      </w:r>
      <w:r w:rsidRPr="00A375EF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375EF" w:rsidRPr="00A375EF" w:rsidTr="00A375EF">
        <w:trPr>
          <w:trHeight w:val="851"/>
        </w:trPr>
        <w:tc>
          <w:tcPr>
            <w:tcW w:w="4297" w:type="dxa"/>
          </w:tcPr>
          <w:p w:rsidR="00A375EF" w:rsidRPr="00A375EF" w:rsidRDefault="00A375EF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2" w:name="OIzvIme"/>
            <w:bookmarkEnd w:id="22"/>
          </w:p>
        </w:tc>
      </w:tr>
    </w:tbl>
    <w:p w:rsidR="00A375EF" w:rsidRPr="00A375EF" w:rsidRDefault="00A375EF" w:rsidP="00A375E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A375EF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A375E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</w:p>
    <w:p w:rsidR="00A375EF" w:rsidRPr="00A375EF" w:rsidRDefault="00A375EF" w:rsidP="00A375EF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sectPr w:rsidR="00A375EF" w:rsidRPr="00A375EF" w:rsidSect="00A375EF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F19"/>
    <w:multiLevelType w:val="hybridMultilevel"/>
    <w:tmpl w:val="C9904A14"/>
    <w:lvl w:ilvl="0" w:tplc="4BE64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EF"/>
    <w:rsid w:val="00633609"/>
    <w:rsid w:val="00982077"/>
    <w:rsid w:val="00A375EF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375E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375E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375E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375E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2023-12-19T07:19:00Z</dcterms:created>
  <dcterms:modified xsi:type="dcterms:W3CDTF">2023-12-19T07:19:00Z</dcterms:modified>
</cp:coreProperties>
</file>