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CC15" w14:textId="77777777" w:rsidR="005B5A02" w:rsidRPr="005B5A02" w:rsidRDefault="005B5A02" w:rsidP="005B5A0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5B5A02" w:rsidRPr="005B5A02" w14:paraId="21F86823" w14:textId="77777777" w:rsidTr="005B5A02">
        <w:tc>
          <w:tcPr>
            <w:tcW w:w="6204" w:type="dxa"/>
            <w:hideMark/>
          </w:tcPr>
          <w:p w14:paraId="0D61060B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B5A0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                      </w:t>
            </w:r>
            <w:r w:rsidRPr="005B5A02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16826555" wp14:editId="23761FA2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E318140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C38695D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B2EEAF5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5B5A02" w:rsidRPr="005B5A02" w14:paraId="4F718E4E" w14:textId="77777777" w:rsidTr="005B5A02">
        <w:tc>
          <w:tcPr>
            <w:tcW w:w="6204" w:type="dxa"/>
            <w:hideMark/>
          </w:tcPr>
          <w:p w14:paraId="51BFC3DB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B5A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mk-MK"/>
              </w:rPr>
              <w:t xml:space="preserve">Република </w:t>
            </w:r>
            <w:r w:rsidRPr="005B5A0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mk-MK"/>
              </w:rPr>
              <w:t xml:space="preserve">Северна </w:t>
            </w:r>
            <w:r w:rsidRPr="005B5A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44C98ACA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2DE463F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243990B7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ind w:firstLine="72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5B5A02" w:rsidRPr="005B5A02" w14:paraId="01C8A637" w14:textId="77777777" w:rsidTr="005B5A02">
        <w:tc>
          <w:tcPr>
            <w:tcW w:w="6204" w:type="dxa"/>
            <w:hideMark/>
          </w:tcPr>
          <w:p w14:paraId="526D1E4D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И З В Р Ш И Т Е Л</w:t>
            </w:r>
          </w:p>
        </w:tc>
        <w:tc>
          <w:tcPr>
            <w:tcW w:w="566" w:type="dxa"/>
          </w:tcPr>
          <w:p w14:paraId="3F305341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BF6B1F1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02152F6A" w14:textId="77777777" w:rsidR="005B5A02" w:rsidRPr="005B5A02" w:rsidRDefault="005B5A02" w:rsidP="005B5A0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5A02" w:rsidRPr="005B5A02" w14:paraId="53EFC285" w14:textId="77777777" w:rsidTr="005B5A02">
        <w:tc>
          <w:tcPr>
            <w:tcW w:w="6204" w:type="dxa"/>
            <w:hideMark/>
          </w:tcPr>
          <w:p w14:paraId="099D4202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proofErr w:type="spellStart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Андреја</w:t>
            </w:r>
            <w:proofErr w:type="spellEnd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Буневски</w:t>
            </w:r>
            <w:proofErr w:type="spellEnd"/>
          </w:p>
        </w:tc>
        <w:tc>
          <w:tcPr>
            <w:tcW w:w="566" w:type="dxa"/>
          </w:tcPr>
          <w:p w14:paraId="70FA0FC6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43C1B54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0F14BA4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5A02" w:rsidRPr="005B5A02" w14:paraId="5E712155" w14:textId="77777777" w:rsidTr="005B5A02">
        <w:tc>
          <w:tcPr>
            <w:tcW w:w="6204" w:type="dxa"/>
            <w:hideMark/>
          </w:tcPr>
          <w:p w14:paraId="30065065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именуван за подрачјето</w:t>
            </w:r>
          </w:p>
        </w:tc>
        <w:tc>
          <w:tcPr>
            <w:tcW w:w="566" w:type="dxa"/>
          </w:tcPr>
          <w:p w14:paraId="7D46F1A1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5B09D82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3974CFC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5A02" w:rsidRPr="005B5A02" w14:paraId="4E62E4D7" w14:textId="77777777" w:rsidTr="005B5A02">
        <w:tc>
          <w:tcPr>
            <w:tcW w:w="6204" w:type="dxa"/>
            <w:hideMark/>
          </w:tcPr>
          <w:p w14:paraId="3518A627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OPodracjeSudGore"/>
            <w:bookmarkEnd w:id="1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14:paraId="0DAAEBB4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1212171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1F0CF014" w14:textId="77777777" w:rsidR="005B5A02" w:rsidRPr="005B5A02" w:rsidRDefault="005B5A02" w:rsidP="005B5A0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5A02" w:rsidRPr="005B5A02" w14:paraId="53BEB848" w14:textId="77777777" w:rsidTr="005B5A02">
        <w:tc>
          <w:tcPr>
            <w:tcW w:w="6204" w:type="dxa"/>
            <w:hideMark/>
          </w:tcPr>
          <w:p w14:paraId="42F1E113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и Основниот кривичен суд Скопје</w:t>
            </w:r>
          </w:p>
        </w:tc>
        <w:tc>
          <w:tcPr>
            <w:tcW w:w="566" w:type="dxa"/>
          </w:tcPr>
          <w:p w14:paraId="54546EFE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632DEFD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8A16C26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5A02" w:rsidRPr="005B5A02" w14:paraId="1CDA60F1" w14:textId="77777777" w:rsidTr="005B5A02">
        <w:tc>
          <w:tcPr>
            <w:tcW w:w="6204" w:type="dxa"/>
            <w:hideMark/>
          </w:tcPr>
          <w:p w14:paraId="56B09120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</w:t>
            </w:r>
            <w:proofErr w:type="spellStart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ул.Њуделхиска</w:t>
            </w:r>
            <w:proofErr w:type="spellEnd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бр.4-2/1</w:t>
            </w:r>
          </w:p>
        </w:tc>
        <w:tc>
          <w:tcPr>
            <w:tcW w:w="566" w:type="dxa"/>
          </w:tcPr>
          <w:p w14:paraId="4EBC52D7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9C2D042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1BC38C3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B5A02" w:rsidRPr="005B5A02" w14:paraId="67F6529D" w14:textId="77777777" w:rsidTr="005B5A02">
        <w:tc>
          <w:tcPr>
            <w:tcW w:w="6204" w:type="dxa"/>
            <w:hideMark/>
          </w:tcPr>
          <w:p w14:paraId="00C5B7B3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02/3290-131; 071-354-200</w:t>
            </w:r>
          </w:p>
        </w:tc>
        <w:tc>
          <w:tcPr>
            <w:tcW w:w="566" w:type="dxa"/>
          </w:tcPr>
          <w:p w14:paraId="3C24FFB5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27286A3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2EA41640" w14:textId="77777777" w:rsidR="005B5A02" w:rsidRPr="005B5A02" w:rsidRDefault="005B5A02" w:rsidP="005B5A02">
            <w:pPr>
              <w:tabs>
                <w:tab w:val="center" w:pos="2268"/>
              </w:tabs>
              <w:spacing w:after="0" w:line="240" w:lineRule="auto"/>
              <w:ind w:firstLine="72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B5A02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bookmarkStart w:id="5" w:name="Ibr"/>
            <w:bookmarkEnd w:id="5"/>
            <w:r w:rsidRPr="005B5A0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.13826/2023</w:t>
            </w:r>
          </w:p>
        </w:tc>
      </w:tr>
    </w:tbl>
    <w:p w14:paraId="6FCC482B" w14:textId="77777777" w:rsidR="005B5A02" w:rsidRPr="005B5A02" w:rsidRDefault="005B5A02" w:rsidP="005B5A0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5B5A02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Pr="005B5A02">
        <w:rPr>
          <w:rFonts w:ascii="Arial" w:hAnsi="Arial" w:cs="Arial"/>
          <w:b/>
          <w:bCs/>
          <w:sz w:val="20"/>
          <w:szCs w:val="20"/>
        </w:rPr>
        <w:tab/>
      </w:r>
      <w:r w:rsidRPr="005B5A02">
        <w:rPr>
          <w:rFonts w:ascii="Arial" w:hAnsi="Arial" w:cs="Arial"/>
          <w:b/>
          <w:bCs/>
          <w:sz w:val="20"/>
          <w:szCs w:val="20"/>
        </w:rPr>
        <w:tab/>
      </w:r>
      <w:r w:rsidRPr="005B5A02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14:paraId="0AF9927C" w14:textId="77777777" w:rsidR="005B5A02" w:rsidRPr="005B5A02" w:rsidRDefault="005B5A02" w:rsidP="005B5A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5A02">
        <w:rPr>
          <w:rFonts w:ascii="Arial" w:hAnsi="Arial" w:cs="Arial"/>
          <w:sz w:val="20"/>
          <w:szCs w:val="20"/>
        </w:rPr>
        <w:t xml:space="preserve">Извршителот </w:t>
      </w:r>
      <w:bookmarkStart w:id="6" w:name="Izvrsitel"/>
      <w:bookmarkEnd w:id="6"/>
      <w:r w:rsidRPr="005B5A02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7" w:name="Adresa"/>
      <w:bookmarkEnd w:id="7"/>
      <w:r w:rsidRPr="005B5A02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8" w:name="Doveritel1"/>
      <w:bookmarkEnd w:id="8"/>
      <w:r w:rsidRPr="005B5A02">
        <w:rPr>
          <w:rFonts w:ascii="Arial" w:hAnsi="Arial" w:cs="Arial"/>
          <w:sz w:val="20"/>
          <w:szCs w:val="20"/>
        </w:rPr>
        <w:t xml:space="preserve">доверителот ХАЛК БАНКА АД Скопје со </w:t>
      </w:r>
      <w:bookmarkStart w:id="9" w:name="opis_edb1"/>
      <w:bookmarkEnd w:id="9"/>
      <w:r w:rsidRPr="005B5A02">
        <w:rPr>
          <w:rFonts w:ascii="Arial" w:hAnsi="Arial" w:cs="Arial"/>
          <w:sz w:val="20"/>
          <w:szCs w:val="20"/>
        </w:rPr>
        <w:t xml:space="preserve">ЕДБ 4030993162028 и ЕМБС 4627148 </w:t>
      </w:r>
      <w:bookmarkStart w:id="10" w:name="edb1"/>
      <w:bookmarkStart w:id="11" w:name="opis_sed1"/>
      <w:bookmarkEnd w:id="10"/>
      <w:bookmarkEnd w:id="11"/>
      <w:r w:rsidRPr="005B5A02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5B5A02">
        <w:rPr>
          <w:rFonts w:ascii="Arial" w:hAnsi="Arial" w:cs="Arial"/>
          <w:sz w:val="20"/>
          <w:szCs w:val="20"/>
        </w:rPr>
        <w:t>ул.Св.Кирил и Методија бр.54</w:t>
      </w:r>
      <w:r w:rsidRPr="005B5A02">
        <w:rPr>
          <w:rFonts w:ascii="Arial" w:hAnsi="Arial" w:cs="Arial"/>
          <w:sz w:val="20"/>
          <w:szCs w:val="20"/>
          <w:lang w:val="ru-RU"/>
        </w:rPr>
        <w:t>,</w:t>
      </w:r>
      <w:r w:rsidRPr="005B5A02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B5A02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5B5A02">
        <w:rPr>
          <w:rFonts w:ascii="Arial" w:hAnsi="Arial" w:cs="Arial"/>
          <w:sz w:val="20"/>
          <w:szCs w:val="20"/>
        </w:rPr>
        <w:t xml:space="preserve">Нотарски Акт ОДУ.бр.214/19 од 10.06.2019 година на Нотар Лазар Козаровски од Скопје и Нотарски Акт ОДУ.бр.383/21 од 27.07.2021 година на Нотар Лазар Козаровски од Скопје, против </w:t>
      </w:r>
      <w:bookmarkStart w:id="18" w:name="Dolznik1"/>
      <w:bookmarkEnd w:id="18"/>
      <w:r w:rsidRPr="005B5A02">
        <w:rPr>
          <w:rFonts w:ascii="Arial" w:hAnsi="Arial" w:cs="Arial"/>
          <w:sz w:val="20"/>
          <w:szCs w:val="20"/>
        </w:rPr>
        <w:t>должникот Друштво за производство, трговија на големо и мало и услуги ТРИ СТАР Т.К.М. ДООЕЛ извоз-увоз Скопје</w:t>
      </w:r>
      <w:bookmarkStart w:id="19" w:name="DolzGrad1"/>
      <w:bookmarkEnd w:id="19"/>
      <w:r w:rsidRPr="005B5A02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Pr="005B5A02">
        <w:rPr>
          <w:rFonts w:ascii="Arial" w:hAnsi="Arial" w:cs="Arial"/>
          <w:sz w:val="20"/>
          <w:szCs w:val="20"/>
        </w:rPr>
        <w:t>ЕДБ 4030007634960 и ЕМБС 6227694</w:t>
      </w:r>
      <w:r w:rsidRPr="005B5A0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Start w:id="24" w:name="adresa1_dolz"/>
      <w:bookmarkEnd w:id="21"/>
      <w:bookmarkEnd w:id="22"/>
      <w:bookmarkEnd w:id="23"/>
      <w:bookmarkEnd w:id="24"/>
      <w:r w:rsidRPr="005B5A02">
        <w:rPr>
          <w:rFonts w:ascii="Arial" w:hAnsi="Arial" w:cs="Arial"/>
          <w:sz w:val="20"/>
          <w:szCs w:val="20"/>
          <w:lang w:val="ru-RU"/>
        </w:rPr>
        <w:t>и</w:t>
      </w:r>
      <w:r w:rsidRPr="005B5A02">
        <w:rPr>
          <w:rFonts w:ascii="Arial" w:hAnsi="Arial" w:cs="Arial"/>
          <w:sz w:val="20"/>
          <w:szCs w:val="20"/>
        </w:rPr>
        <w:t xml:space="preserve"> седиште на ул.Самоилова бр.116, Скопје, </w:t>
      </w:r>
      <w:bookmarkStart w:id="25" w:name="Dolznik2"/>
      <w:bookmarkEnd w:id="25"/>
      <w:r w:rsidRPr="005B5A02">
        <w:rPr>
          <w:rFonts w:ascii="Arial" w:hAnsi="Arial" w:cs="Arial"/>
          <w:sz w:val="20"/>
          <w:szCs w:val="20"/>
        </w:rPr>
        <w:t xml:space="preserve">за спроведување на извршување </w:t>
      </w:r>
      <w:bookmarkStart w:id="26" w:name="VredPredmet"/>
      <w:bookmarkEnd w:id="26"/>
      <w:r w:rsidRPr="005B5A02">
        <w:rPr>
          <w:rFonts w:ascii="Arial" w:hAnsi="Arial" w:cs="Arial"/>
          <w:sz w:val="20"/>
          <w:szCs w:val="20"/>
        </w:rPr>
        <w:t xml:space="preserve">во вредност 325.618,99 евра на ден </w:t>
      </w:r>
      <w:bookmarkStart w:id="27" w:name="DatumIzdava"/>
      <w:bookmarkEnd w:id="27"/>
      <w:r w:rsidRPr="005B5A02">
        <w:rPr>
          <w:rFonts w:ascii="Arial" w:hAnsi="Arial" w:cs="Arial"/>
          <w:sz w:val="20"/>
          <w:szCs w:val="20"/>
        </w:rPr>
        <w:t>02.04.2025 година го донесува следниот:</w:t>
      </w:r>
    </w:p>
    <w:p w14:paraId="23755213" w14:textId="77777777" w:rsidR="005B5A02" w:rsidRPr="005B5A02" w:rsidRDefault="005B5A02" w:rsidP="005B5A0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5B5A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66DA7120" w14:textId="77777777" w:rsidR="005B5A02" w:rsidRPr="005B5A02" w:rsidRDefault="005B5A02" w:rsidP="005B5A0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B5A02">
        <w:rPr>
          <w:rFonts w:ascii="Arial" w:hAnsi="Arial" w:cs="Arial"/>
          <w:b/>
          <w:sz w:val="20"/>
          <w:szCs w:val="20"/>
        </w:rPr>
        <w:t>З А К Л У Ч О К</w:t>
      </w:r>
    </w:p>
    <w:p w14:paraId="6532CABD" w14:textId="77777777" w:rsidR="005B5A02" w:rsidRPr="005B5A02" w:rsidRDefault="005B5A02" w:rsidP="005B5A0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B5A02"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6898A700" w14:textId="77777777" w:rsidR="005B5A02" w:rsidRPr="005B5A02" w:rsidRDefault="005B5A02" w:rsidP="005B5A0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B5A02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5B5A02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5B5A02">
        <w:rPr>
          <w:rFonts w:ascii="Arial" w:hAnsi="Arial" w:cs="Arial"/>
          <w:b/>
          <w:sz w:val="20"/>
          <w:szCs w:val="20"/>
        </w:rPr>
        <w:t>)</w:t>
      </w:r>
    </w:p>
    <w:p w14:paraId="434B8BE2" w14:textId="77777777" w:rsidR="005B5A02" w:rsidRPr="005B5A02" w:rsidRDefault="005B5A02" w:rsidP="005B5A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442319F" w14:textId="77777777" w:rsidR="005B5A02" w:rsidRPr="005B5A02" w:rsidRDefault="005B5A02" w:rsidP="005B5A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5A02">
        <w:rPr>
          <w:rFonts w:ascii="Arial" w:hAnsi="Arial" w:cs="Arial"/>
          <w:sz w:val="20"/>
          <w:szCs w:val="20"/>
        </w:rPr>
        <w:t xml:space="preserve">    СЕ ОПРЕДЕЛУВА продажба со усно јавно наддавање на недвижностите означени како: </w:t>
      </w:r>
      <w:r w:rsidRPr="005B5A02">
        <w:rPr>
          <w:rFonts w:ascii="Arial" w:hAnsi="Arial" w:cs="Arial"/>
          <w:b/>
          <w:sz w:val="20"/>
          <w:szCs w:val="20"/>
        </w:rPr>
        <w:t>Деловна просторија</w:t>
      </w:r>
      <w:r w:rsidRPr="005B5A02">
        <w:rPr>
          <w:rFonts w:ascii="Arial" w:hAnsi="Arial" w:cs="Arial"/>
          <w:bCs/>
          <w:sz w:val="20"/>
          <w:szCs w:val="20"/>
        </w:rPr>
        <w:t xml:space="preserve"> </w:t>
      </w:r>
      <w:r w:rsidRPr="005B5A02">
        <w:rPr>
          <w:rFonts w:ascii="Arial" w:hAnsi="Arial" w:cs="Arial"/>
          <w:b/>
          <w:bCs/>
          <w:sz w:val="20"/>
          <w:szCs w:val="20"/>
        </w:rPr>
        <w:t xml:space="preserve">на адреса Г.Т.Ц. ЛОКАЛ 11 Д.Е.122, </w:t>
      </w:r>
      <w:r w:rsidRPr="005B5A02">
        <w:rPr>
          <w:rFonts w:ascii="Arial" w:hAnsi="Arial" w:cs="Arial"/>
          <w:b/>
          <w:sz w:val="20"/>
          <w:szCs w:val="20"/>
        </w:rPr>
        <w:t xml:space="preserve">со површина од 18 </w:t>
      </w:r>
      <w:r w:rsidRPr="005B5A02">
        <w:rPr>
          <w:rFonts w:ascii="Arial" w:hAnsi="Arial" w:cs="Arial"/>
          <w:b/>
          <w:bCs/>
          <w:sz w:val="20"/>
          <w:szCs w:val="20"/>
        </w:rPr>
        <w:t xml:space="preserve">м², која лежи на КП.бр.12079, дел 0, зграда 1, влез 001, кат 001, број 122, запишан во Имотен лист бр.101049 за КО Центар 1 при АКН – Центар за катастар на недвижности Скопје и </w:t>
      </w:r>
      <w:r w:rsidRPr="005B5A02">
        <w:rPr>
          <w:rFonts w:ascii="Arial" w:hAnsi="Arial" w:cs="Arial"/>
          <w:b/>
          <w:sz w:val="20"/>
          <w:szCs w:val="20"/>
        </w:rPr>
        <w:t>Деловна просторија</w:t>
      </w:r>
      <w:r w:rsidRPr="005B5A02">
        <w:rPr>
          <w:rFonts w:ascii="Arial" w:hAnsi="Arial" w:cs="Arial"/>
          <w:bCs/>
          <w:sz w:val="20"/>
          <w:szCs w:val="20"/>
        </w:rPr>
        <w:t xml:space="preserve"> </w:t>
      </w:r>
      <w:r w:rsidRPr="005B5A02">
        <w:rPr>
          <w:rFonts w:ascii="Arial" w:hAnsi="Arial" w:cs="Arial"/>
          <w:b/>
          <w:bCs/>
          <w:sz w:val="20"/>
          <w:szCs w:val="20"/>
        </w:rPr>
        <w:t xml:space="preserve">на адреса Г.Т.Ц. ЛОКАЛ 1 и 2 Д.Е. 89 и 322, </w:t>
      </w:r>
      <w:r w:rsidRPr="005B5A02">
        <w:rPr>
          <w:rFonts w:ascii="Arial" w:hAnsi="Arial" w:cs="Arial"/>
          <w:b/>
          <w:sz w:val="20"/>
          <w:szCs w:val="20"/>
        </w:rPr>
        <w:t xml:space="preserve">со површина од 72 </w:t>
      </w:r>
      <w:r w:rsidRPr="005B5A02">
        <w:rPr>
          <w:rFonts w:ascii="Arial" w:hAnsi="Arial" w:cs="Arial"/>
          <w:b/>
          <w:bCs/>
          <w:sz w:val="20"/>
          <w:szCs w:val="20"/>
        </w:rPr>
        <w:t>м², која лежи на КП.бр.12079, дел 0, зграда 1, влез 1, кат 1, број 322-4, запишан во Имотен лист бр.101773 за КО Центар 1 при АКН – Центар за катастар на недвижности Скопје</w:t>
      </w:r>
      <w:r w:rsidRPr="005B5A02">
        <w:rPr>
          <w:rFonts w:ascii="Arial" w:hAnsi="Arial" w:cs="Arial"/>
          <w:sz w:val="20"/>
          <w:szCs w:val="20"/>
        </w:rPr>
        <w:t>, а кои недвижности претставуваат една целина согласно геодетски елаборат за геодетски работи за посебни намени бр.1301-169/3 од 06.12.2023 година</w:t>
      </w:r>
      <w:r w:rsidRPr="005B5A02">
        <w:rPr>
          <w:rFonts w:ascii="Arial" w:hAnsi="Arial" w:cs="Arial"/>
          <w:bCs/>
          <w:sz w:val="20"/>
          <w:szCs w:val="20"/>
        </w:rPr>
        <w:t xml:space="preserve"> и се </w:t>
      </w:r>
      <w:r w:rsidRPr="005B5A02">
        <w:rPr>
          <w:rFonts w:ascii="Arial" w:hAnsi="Arial" w:cs="Arial"/>
          <w:sz w:val="20"/>
          <w:szCs w:val="20"/>
        </w:rPr>
        <w:t xml:space="preserve">во </w:t>
      </w:r>
      <w:r w:rsidRPr="005B5A02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Pr="005B5A02">
        <w:rPr>
          <w:rFonts w:ascii="Arial" w:hAnsi="Arial" w:cs="Arial"/>
          <w:sz w:val="20"/>
          <w:szCs w:val="20"/>
        </w:rPr>
        <w:t>должникот Друштво за производство, трговија на големо и мало и услуги ТРИ СТАР Т.К.М. ДООЕЛ извоз-увоз Скопје со ЕДБ 4030007634960 и ЕМБС 6227694</w:t>
      </w:r>
      <w:r w:rsidRPr="005B5A02">
        <w:rPr>
          <w:rFonts w:ascii="Arial" w:hAnsi="Arial" w:cs="Arial"/>
          <w:sz w:val="20"/>
          <w:szCs w:val="20"/>
          <w:lang w:val="ru-RU"/>
        </w:rPr>
        <w:t xml:space="preserve"> и</w:t>
      </w:r>
      <w:r w:rsidRPr="005B5A02">
        <w:rPr>
          <w:rFonts w:ascii="Arial" w:hAnsi="Arial" w:cs="Arial"/>
          <w:sz w:val="20"/>
          <w:szCs w:val="20"/>
        </w:rPr>
        <w:t xml:space="preserve"> седиште на ул.Самоилова бр.116, Скопје.</w:t>
      </w:r>
    </w:p>
    <w:p w14:paraId="3A767668" w14:textId="77777777" w:rsidR="005B5A02" w:rsidRPr="005B5A02" w:rsidRDefault="005B5A02" w:rsidP="00260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5A02">
        <w:rPr>
          <w:rFonts w:ascii="Arial" w:hAnsi="Arial" w:cs="Arial"/>
          <w:sz w:val="20"/>
          <w:szCs w:val="20"/>
        </w:rPr>
        <w:t xml:space="preserve">    Продажбата ќе се одржи на ден 30.04.2025 година во 12:00 часот во просториите на извршител Андреја Буневски од Скопје, </w:t>
      </w:r>
      <w:proofErr w:type="spellStart"/>
      <w:r w:rsidRPr="005B5A02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5B5A02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5B5A02">
        <w:rPr>
          <w:rFonts w:ascii="Arial" w:hAnsi="Arial" w:cs="Arial"/>
          <w:sz w:val="20"/>
          <w:szCs w:val="20"/>
        </w:rPr>
        <w:t>. Почетната вредност на недвижностите изнесуваат 10.447.447,00 денари, под која недвижностите неможе да се продадат на третото јавно наддавање. Недвижностите се оптоварени со следните товари и службености: Заснована хипотека врз основа на Нотарски Акт ОДУ.бр.214/19 од 10.06.2019 година на Нотар Лазар Козаровски од Скопје и Нотарски Акт ОДУ.бр.383/21 од 27.07.2021 година на Нотар Лазар Козаровски од Скопје, во корист на ХАЛК БАНКА АД Скопје, за износ од 331000 ЕМУ (</w:t>
      </w:r>
      <w:r w:rsidRPr="005B5A02">
        <w:rPr>
          <w:rFonts w:ascii="Arial" w:hAnsi="Arial" w:cs="Arial"/>
          <w:sz w:val="20"/>
          <w:szCs w:val="20"/>
          <w:lang w:val="en-US"/>
        </w:rPr>
        <w:t>EU</w:t>
      </w:r>
      <w:r w:rsidRPr="005B5A02">
        <w:rPr>
          <w:rFonts w:ascii="Arial" w:hAnsi="Arial" w:cs="Arial"/>
          <w:sz w:val="20"/>
          <w:szCs w:val="20"/>
        </w:rPr>
        <w:t xml:space="preserve">), налог за извршување врз недвижност И.бр.347/2021 од 19.05.2021 година на Извршител Јадранка Антовска, налог за извршување кај пристапување кон извршување И.бр.13826/2023 од 13.11.2023 година на Извршител Андреја Буневски, налог за извршување кај пристапување кон извршување (врз основа на член 169 од законот за извршување) И.бр.3417/23 од 14.11.2023 година на Извршител Павел Поп Иванов, налог за извршување кај пристапување кон извршување И.бр.728/2023 од 28.12.2023 година на Извршител </w:t>
      </w:r>
      <w:r w:rsidRPr="005B5A02">
        <w:rPr>
          <w:rFonts w:ascii="Arial" w:hAnsi="Arial" w:cs="Arial"/>
          <w:sz w:val="20"/>
          <w:szCs w:val="20"/>
          <w:shd w:val="clear" w:color="auto" w:fill="FFFFFF"/>
        </w:rPr>
        <w:t>Александра Заринска Дуровска.</w:t>
      </w:r>
      <w:r w:rsidR="002607F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B5A02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5B5A02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5B5A02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1.044.745,00 денари. Уплатата на паричните средства на име гаранција се врши на жиро сметката од извршителот со бр.270061142960293 депонент</w:t>
      </w:r>
      <w:r w:rsidRPr="005B5A02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5B5A02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</w:t>
      </w:r>
      <w:r>
        <w:rPr>
          <w:rFonts w:ascii="Arial" w:hAnsi="Arial" w:cs="Arial"/>
          <w:sz w:val="20"/>
          <w:szCs w:val="20"/>
        </w:rPr>
        <w:t xml:space="preserve"> </w:t>
      </w:r>
      <w:r w:rsidRPr="005B5A02">
        <w:rPr>
          <w:rFonts w:ascii="Arial" w:hAnsi="Arial" w:cs="Arial"/>
          <w:sz w:val="20"/>
          <w:szCs w:val="20"/>
        </w:rPr>
        <w:t>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DA93EDB" w14:textId="77777777" w:rsidR="005B5A02" w:rsidRPr="005B5A02" w:rsidRDefault="005B5A02" w:rsidP="005B5A02">
      <w:pPr>
        <w:tabs>
          <w:tab w:val="left" w:pos="6990"/>
          <w:tab w:val="left" w:pos="76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5A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5B5A02">
        <w:rPr>
          <w:rFonts w:ascii="Arial" w:hAnsi="Arial" w:cs="Arial"/>
          <w:sz w:val="20"/>
          <w:szCs w:val="20"/>
        </w:rPr>
        <w:t xml:space="preserve"> И з в р ш и т е л</w:t>
      </w:r>
    </w:p>
    <w:p w14:paraId="10DD57EA" w14:textId="77777777" w:rsidR="00982077" w:rsidRPr="005B5A02" w:rsidRDefault="005B5A02" w:rsidP="005B5A02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5A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5B5A02">
        <w:rPr>
          <w:rFonts w:ascii="Arial" w:hAnsi="Arial" w:cs="Arial"/>
          <w:sz w:val="20"/>
          <w:szCs w:val="20"/>
        </w:rPr>
        <w:t xml:space="preserve">      Андреја Буневски</w:t>
      </w:r>
    </w:p>
    <w:sectPr w:rsidR="00982077" w:rsidRPr="005B5A02" w:rsidSect="005B5A02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02"/>
    <w:rsid w:val="002607F8"/>
    <w:rsid w:val="005B5A02"/>
    <w:rsid w:val="00633609"/>
    <w:rsid w:val="006C068C"/>
    <w:rsid w:val="00884D08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C5B7"/>
  <w15:chartTrackingRefBased/>
  <w15:docId w15:val="{B39A2BC2-376A-4A1F-B370-9881D02C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B5A0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B5A02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Perdorues</cp:lastModifiedBy>
  <cp:revision>2</cp:revision>
  <dcterms:created xsi:type="dcterms:W3CDTF">2025-04-08T11:20:00Z</dcterms:created>
  <dcterms:modified xsi:type="dcterms:W3CDTF">2025-04-08T11:20:00Z</dcterms:modified>
</cp:coreProperties>
</file>