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008"/>
        <w:gridCol w:w="549"/>
        <w:gridCol w:w="956"/>
        <w:gridCol w:w="2908"/>
      </w:tblGrid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sz w:val="22"/>
                <w:szCs w:val="22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sz w:val="22"/>
                <w:szCs w:val="22"/>
                <w:lang w:val="ru-RU"/>
              </w:rPr>
              <w:t>Чедомир Личковски</w:t>
            </w: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sz w:val="22"/>
                <w:szCs w:val="22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sz w:val="22"/>
                <w:szCs w:val="22"/>
                <w:lang w:val="ru-RU"/>
              </w:rPr>
              <w:t>Основните судови Гостивар и</w:t>
            </w:r>
            <w:r w:rsidRPr="00D5492E">
              <w:rPr>
                <w:sz w:val="22"/>
                <w:szCs w:val="22"/>
              </w:rPr>
              <w:t xml:space="preserve"> </w:t>
            </w:r>
            <w:proofErr w:type="spellStart"/>
            <w:r w:rsidRPr="00D5492E">
              <w:rPr>
                <w:rFonts w:ascii="Arial" w:hAnsi="Arial" w:cs="Arial"/>
                <w:b/>
                <w:sz w:val="22"/>
                <w:szCs w:val="22"/>
              </w:rPr>
              <w:t>Кичево</w:t>
            </w:r>
            <w:proofErr w:type="spellEnd"/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sz w:val="22"/>
                <w:szCs w:val="22"/>
                <w:lang w:val="ru-RU"/>
              </w:rPr>
              <w:t>И.бр.42/24</w:t>
            </w: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sz w:val="22"/>
                <w:szCs w:val="22"/>
                <w:lang w:val="ru-RU"/>
              </w:rPr>
              <w:t>ул.Мајор Чеде Филиповски бр.2</w:t>
            </w: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49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тел.042/221-888 и </w:t>
            </w:r>
            <w:r w:rsidRPr="00D5492E">
              <w:rPr>
                <w:rFonts w:ascii="Arial" w:hAnsi="Arial" w:cs="Arial"/>
                <w:b/>
                <w:sz w:val="22"/>
                <w:szCs w:val="22"/>
              </w:rPr>
              <w:t>078 354 304</w:t>
            </w: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5492E" w:rsidRPr="00D5492E" w:rsidTr="0033432E">
        <w:tc>
          <w:tcPr>
            <w:tcW w:w="6008" w:type="dxa"/>
            <w:hideMark/>
          </w:tcPr>
          <w:p w:rsidR="00D5492E" w:rsidRPr="00D5492E" w:rsidRDefault="00D5492E" w:rsidP="0033432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549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56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908" w:type="dxa"/>
          </w:tcPr>
          <w:p w:rsidR="00D5492E" w:rsidRPr="00D5492E" w:rsidRDefault="00D5492E" w:rsidP="0033432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D5492E"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Чедомир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Личковски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Гостивар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Комерцијална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банка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АД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Скопје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 со ЕМБГ/ ЕМБС/ ЕДБ </w:t>
      </w:r>
      <w:r w:rsidRPr="00D5492E">
        <w:rPr>
          <w:rFonts w:ascii="Arial" w:hAnsi="Arial" w:cs="Arial"/>
          <w:color w:val="000000"/>
          <w:sz w:val="22"/>
          <w:szCs w:val="22"/>
          <w:lang w:val="en-US"/>
        </w:rPr>
        <w:t>///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и живеалиште/ престојувалиште/ седиште на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ул.,,Васил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Иљоски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бр.3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, засновано на извршната исправа </w:t>
      </w:r>
      <w:r w:rsidRPr="00D5492E">
        <w:rPr>
          <w:rFonts w:ascii="Arial" w:hAnsi="Arial" w:cs="Arial"/>
          <w:color w:val="000000"/>
          <w:sz w:val="22"/>
          <w:szCs w:val="22"/>
          <w:lang w:val="en-US"/>
        </w:rPr>
        <w:t>ОДУ.бр.548/15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D5492E">
        <w:rPr>
          <w:rFonts w:ascii="Arial" w:hAnsi="Arial" w:cs="Arial"/>
          <w:color w:val="000000"/>
          <w:sz w:val="22"/>
          <w:szCs w:val="22"/>
          <w:lang w:val="en-US"/>
        </w:rPr>
        <w:t>30.4.2015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на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Нотар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Зулфиќар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Сејфулаи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од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Гостивар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, против должникот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Друштво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за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приредување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на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игри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за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среќа</w:t>
      </w:r>
      <w:proofErr w:type="spellEnd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 xml:space="preserve"> КАЗИНО МЕРКУР ДООЕЛ </w:t>
      </w:r>
      <w:proofErr w:type="spellStart"/>
      <w:r w:rsidRPr="00D5492E">
        <w:rPr>
          <w:rFonts w:ascii="Arial" w:hAnsi="Arial" w:cs="Arial"/>
          <w:b/>
          <w:bCs/>
          <w:color w:val="000000"/>
          <w:sz w:val="22"/>
          <w:szCs w:val="22"/>
          <w:lang w:val="en-US"/>
        </w:rPr>
        <w:t>Гостивар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 од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Гостивар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 со ЕМБГ/ ЕМБС/ ЕДБ   и живеалиште/ престојувалиште/ седиште на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ул.ЈНА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БР.95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,  и заложен должник  </w:t>
      </w:r>
      <w:r w:rsidRPr="00D5492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Кујтим Мехмеди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D5492E">
        <w:rPr>
          <w:rFonts w:ascii="Arial" w:hAnsi="Arial" w:cs="Arial"/>
          <w:color w:val="000000"/>
          <w:sz w:val="22"/>
          <w:szCs w:val="22"/>
          <w:lang w:val="mk-MK" w:eastAsia="mk-MK"/>
        </w:rPr>
        <w:t>Гостивар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со ЕМБГ/ ЕМБС/ ЕДБ </w:t>
      </w:r>
      <w:r w:rsidRPr="00D5492E">
        <w:rPr>
          <w:rFonts w:ascii="Arial" w:hAnsi="Arial" w:cs="Arial"/>
          <w:sz w:val="22"/>
          <w:szCs w:val="22"/>
          <w:lang w:val="en-US"/>
        </w:rPr>
        <w:t>///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и живеалиште/ престојувалиште/ седиште на </w:t>
      </w:r>
      <w:r w:rsidRPr="00D5492E">
        <w:rPr>
          <w:rFonts w:ascii="Arial" w:hAnsi="Arial" w:cs="Arial"/>
          <w:color w:val="000000"/>
          <w:sz w:val="22"/>
          <w:szCs w:val="22"/>
          <w:lang w:val="mk-MK" w:eastAsia="mk-MK"/>
        </w:rPr>
        <w:t xml:space="preserve">ул.Фазанерија 2 бр.2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за спроведување на извршување во вредност </w:t>
      </w:r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7.750.102,00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ден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Pr="00D5492E">
        <w:rPr>
          <w:rFonts w:ascii="Arial" w:hAnsi="Arial" w:cs="Arial"/>
          <w:sz w:val="22"/>
          <w:szCs w:val="22"/>
          <w:lang w:val="mk-MK"/>
        </w:rPr>
        <w:t>, на ден 01.09.2025 година го донесува следниот: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</w:p>
    <w:p w:rsidR="00D5492E" w:rsidRPr="00D5492E" w:rsidRDefault="00D5492E" w:rsidP="00D5492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5492E">
        <w:rPr>
          <w:rFonts w:ascii="Arial" w:hAnsi="Arial" w:cs="Arial"/>
          <w:b/>
          <w:sz w:val="22"/>
          <w:szCs w:val="22"/>
          <w:lang w:val="mk-MK"/>
        </w:rPr>
        <w:t>З А К Л У Ч О К</w:t>
      </w:r>
    </w:p>
    <w:p w:rsidR="00D5492E" w:rsidRPr="00D5492E" w:rsidRDefault="00D5492E" w:rsidP="00D5492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5492E">
        <w:rPr>
          <w:rFonts w:ascii="Arial" w:hAnsi="Arial" w:cs="Arial"/>
          <w:b/>
          <w:sz w:val="22"/>
          <w:szCs w:val="22"/>
          <w:lang w:val="mk-MK"/>
        </w:rPr>
        <w:t>ЗА ТРЕТА УСНА ЈАВНА ПРОДАЖБА</w:t>
      </w:r>
    </w:p>
    <w:p w:rsidR="00D5492E" w:rsidRPr="00D5492E" w:rsidRDefault="00D5492E" w:rsidP="00D5492E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D5492E">
        <w:rPr>
          <w:rFonts w:ascii="Arial" w:hAnsi="Arial" w:cs="Arial"/>
          <w:b/>
          <w:sz w:val="22"/>
          <w:szCs w:val="22"/>
          <w:lang w:val="mk-MK"/>
        </w:rPr>
        <w:t xml:space="preserve">(врз основа на членовите 179 став (1), 181 став (1) и 182 став (1) од </w:t>
      </w:r>
      <w:r w:rsidRPr="00D5492E">
        <w:rPr>
          <w:rFonts w:ascii="Arial" w:hAnsi="Arial" w:cs="Arial"/>
          <w:b/>
          <w:bCs/>
          <w:sz w:val="22"/>
          <w:szCs w:val="22"/>
          <w:lang w:val="mk-MK"/>
        </w:rPr>
        <w:t>Законот за извршување</w:t>
      </w:r>
      <w:r w:rsidRPr="00D5492E">
        <w:rPr>
          <w:rFonts w:ascii="Arial" w:hAnsi="Arial" w:cs="Arial"/>
          <w:b/>
          <w:sz w:val="22"/>
          <w:szCs w:val="22"/>
          <w:lang w:val="mk-MK"/>
        </w:rPr>
        <w:t>)</w:t>
      </w:r>
    </w:p>
    <w:p w:rsidR="00D5492E" w:rsidRPr="00D5492E" w:rsidRDefault="00D5492E" w:rsidP="00D5492E">
      <w:pPr>
        <w:rPr>
          <w:rFonts w:ascii="Arial" w:hAnsi="Arial" w:cs="Arial"/>
          <w:sz w:val="22"/>
          <w:szCs w:val="22"/>
          <w:lang w:val="mk-MK"/>
        </w:rPr>
      </w:pP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bCs/>
          <w:sz w:val="22"/>
          <w:szCs w:val="22"/>
          <w:lang w:val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>СЕ ОПРЕДЕЛУВА ТРЕТА продажба со усно јавно наддавање на недвижноста означена како:</w:t>
      </w:r>
      <w:r w:rsidRPr="00D5492E">
        <w:rPr>
          <w:rFonts w:ascii="Arial" w:hAnsi="Arial" w:cs="Arial"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Лист Б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-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19/38 од КП.бр.4989, викано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место /улица ГОСТИВАР, кат.култура  ДМ,  површина од 22 м</w:t>
      </w:r>
      <w:r w:rsidRPr="00D5492E">
        <w:rPr>
          <w:rFonts w:ascii="Arial" w:hAnsi="Arial" w:cs="Arial"/>
          <w:bCs/>
          <w:sz w:val="22"/>
          <w:szCs w:val="22"/>
          <w:vertAlign w:val="superscript"/>
          <w:lang w:val="mk-MK"/>
        </w:rPr>
        <w:t xml:space="preserve">2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,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 xml:space="preserve">СОСОПСТВЕНОСТ, 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D5492E">
        <w:rPr>
          <w:rFonts w:ascii="Arial" w:hAnsi="Arial" w:cs="Arial"/>
          <w:bCs/>
          <w:sz w:val="22"/>
          <w:szCs w:val="22"/>
          <w:lang w:val="en-US"/>
        </w:rPr>
        <w:t>-</w:t>
      </w:r>
      <w:r w:rsidRPr="00D5492E">
        <w:rPr>
          <w:rFonts w:ascii="Arial" w:hAnsi="Arial" w:cs="Arial"/>
          <w:bCs/>
          <w:sz w:val="22"/>
          <w:szCs w:val="22"/>
          <w:lang w:val="mk-MK"/>
        </w:rPr>
        <w:t>19/38 од КП.бр.4989, викано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место /улица ГОСТИВАР, кат.култура ЗПЗ 1, површина од 324 м</w:t>
      </w:r>
      <w:r w:rsidRPr="00D5492E">
        <w:rPr>
          <w:rFonts w:ascii="Arial" w:hAnsi="Arial" w:cs="Arial"/>
          <w:bCs/>
          <w:sz w:val="22"/>
          <w:szCs w:val="22"/>
          <w:vertAlign w:val="superscript"/>
          <w:lang w:val="mk-MK"/>
        </w:rPr>
        <w:t>2</w:t>
      </w:r>
      <w:r w:rsidRPr="00D5492E">
        <w:rPr>
          <w:rFonts w:ascii="Arial" w:hAnsi="Arial" w:cs="Arial"/>
          <w:bCs/>
          <w:sz w:val="22"/>
          <w:szCs w:val="22"/>
          <w:lang w:val="mk-MK"/>
        </w:rPr>
        <w:t>,</w:t>
      </w:r>
      <w:r w:rsidRPr="00D5492E">
        <w:rPr>
          <w:rFonts w:ascii="Arial" w:hAnsi="Arial" w:cs="Arial"/>
          <w:bCs/>
          <w:sz w:val="22"/>
          <w:szCs w:val="22"/>
          <w:vertAlign w:val="superscript"/>
          <w:lang w:val="mk-MK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СОСОПСТВЕНОСТ, запишана во имотен лист бр</w:t>
      </w:r>
      <w:r w:rsidRPr="00D5492E">
        <w:rPr>
          <w:rFonts w:ascii="Arial" w:hAnsi="Arial" w:cs="Arial"/>
          <w:b/>
          <w:bCs/>
          <w:sz w:val="22"/>
          <w:szCs w:val="22"/>
          <w:lang w:val="mk-MK"/>
        </w:rPr>
        <w:t>.5818</w:t>
      </w:r>
      <w:r w:rsidRPr="00D5492E">
        <w:rPr>
          <w:rFonts w:ascii="Arial" w:hAnsi="Arial" w:cs="Arial"/>
          <w:bCs/>
          <w:sz w:val="22"/>
          <w:szCs w:val="22"/>
          <w:lang w:val="mk-MK"/>
        </w:rPr>
        <w:t xml:space="preserve"> при АКН Гостивар со следните ознаки: </w:t>
      </w:r>
      <w:r w:rsidRPr="00D5492E">
        <w:rPr>
          <w:rFonts w:ascii="Arial" w:hAnsi="Arial" w:cs="Arial"/>
          <w:b/>
          <w:bCs/>
          <w:sz w:val="22"/>
          <w:szCs w:val="22"/>
          <w:lang w:val="mk-MK"/>
        </w:rPr>
        <w:t>КО Гостивар 2</w:t>
      </w:r>
      <w:r w:rsidRPr="00D5492E">
        <w:rPr>
          <w:rFonts w:ascii="Arial" w:hAnsi="Arial" w:cs="Arial"/>
          <w:bCs/>
          <w:sz w:val="22"/>
          <w:szCs w:val="22"/>
          <w:lang w:val="mk-MK"/>
        </w:rPr>
        <w:t xml:space="preserve">, која се наоѓа во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владение од </w:t>
      </w:r>
      <w:r w:rsidRPr="00D5492E">
        <w:rPr>
          <w:rFonts w:ascii="Arial" w:hAnsi="Arial" w:cs="Arial"/>
          <w:sz w:val="22"/>
          <w:szCs w:val="22"/>
          <w:vertAlign w:val="superscript"/>
          <w:lang w:val="mk-MK"/>
        </w:rPr>
        <w:t>19/38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на заложниот должник</w:t>
      </w:r>
      <w:r w:rsidRPr="00D5492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Кујтим Мехмеди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D5492E">
        <w:rPr>
          <w:rFonts w:ascii="Arial" w:hAnsi="Arial" w:cs="Arial"/>
          <w:color w:val="000000"/>
          <w:sz w:val="22"/>
          <w:szCs w:val="22"/>
          <w:lang w:val="mk-MK" w:eastAsia="mk-MK"/>
        </w:rPr>
        <w:t>Гостивар</w:t>
      </w:r>
      <w:r w:rsidRPr="00D5492E">
        <w:rPr>
          <w:rFonts w:ascii="Arial" w:hAnsi="Arial" w:cs="Arial"/>
          <w:sz w:val="22"/>
          <w:szCs w:val="22"/>
          <w:lang w:val="en-US"/>
        </w:rPr>
        <w:t xml:space="preserve">, </w:t>
      </w:r>
      <w:r w:rsidRPr="00D5492E">
        <w:rPr>
          <w:rFonts w:ascii="Arial" w:hAnsi="Arial" w:cs="Arial"/>
          <w:sz w:val="22"/>
          <w:szCs w:val="22"/>
          <w:lang w:val="mk-MK"/>
        </w:rPr>
        <w:t>и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bCs/>
          <w:sz w:val="22"/>
          <w:szCs w:val="22"/>
          <w:lang w:val="mk-MK"/>
        </w:rPr>
        <w:t>Лист В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-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КП.бр.4989, дел 0 ,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Адреса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(улица и куќен број на зграда ) ГОСТИВАР, Бр.на зграда/друг објект 1, Намена на згр.превземена при конверзија на податоците од стариот ел.систем А2-2 ,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влез 1 кат ПО број 8 ,</w:t>
      </w:r>
      <w:r w:rsidRPr="00D5492E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намена на посебен/заеднички дел од зграда ДП,  внатрешна површина од 288 м</w:t>
      </w:r>
      <w:r w:rsidRPr="00D5492E">
        <w:rPr>
          <w:rFonts w:ascii="Arial" w:hAnsi="Arial" w:cs="Arial"/>
          <w:bCs/>
          <w:sz w:val="22"/>
          <w:szCs w:val="22"/>
          <w:vertAlign w:val="superscript"/>
          <w:lang w:val="mk-MK"/>
        </w:rPr>
        <w:t xml:space="preserve">2,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СОПСТВЕНОСТ запишана во имотен лист бр.</w:t>
      </w:r>
      <w:r w:rsidRPr="00D5492E">
        <w:rPr>
          <w:rFonts w:ascii="Arial" w:hAnsi="Arial" w:cs="Arial"/>
          <w:b/>
          <w:bCs/>
          <w:sz w:val="22"/>
          <w:szCs w:val="22"/>
          <w:lang w:val="mk-MK"/>
        </w:rPr>
        <w:t>101348</w:t>
      </w:r>
      <w:r w:rsidRPr="00D5492E">
        <w:rPr>
          <w:rFonts w:ascii="Arial" w:hAnsi="Arial" w:cs="Arial"/>
          <w:bCs/>
          <w:sz w:val="22"/>
          <w:szCs w:val="22"/>
          <w:lang w:val="mk-MK"/>
        </w:rPr>
        <w:t xml:space="preserve"> при АКН Гостивар со следните ознаки: </w:t>
      </w:r>
      <w:r w:rsidRPr="00D5492E">
        <w:rPr>
          <w:rFonts w:ascii="Arial" w:hAnsi="Arial" w:cs="Arial"/>
          <w:b/>
          <w:bCs/>
          <w:sz w:val="22"/>
          <w:szCs w:val="22"/>
          <w:lang w:val="mk-MK"/>
        </w:rPr>
        <w:t>КО Гостивар 2</w:t>
      </w:r>
      <w:r w:rsidRPr="00D5492E">
        <w:rPr>
          <w:rFonts w:ascii="Arial" w:hAnsi="Arial" w:cs="Arial"/>
          <w:bCs/>
          <w:sz w:val="22"/>
          <w:szCs w:val="22"/>
          <w:lang w:val="mk-MK"/>
        </w:rPr>
        <w:t xml:space="preserve">, која се наоѓа во </w:t>
      </w:r>
      <w:r w:rsidRPr="00D5492E">
        <w:rPr>
          <w:rFonts w:ascii="Arial" w:hAnsi="Arial" w:cs="Arial"/>
          <w:sz w:val="22"/>
          <w:szCs w:val="22"/>
          <w:lang w:val="mk-MK"/>
        </w:rPr>
        <w:t>владение на заложниот должник</w:t>
      </w:r>
      <w:r w:rsidRPr="00D5492E"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Кујтим Мехмеди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од </w:t>
      </w:r>
      <w:r w:rsidRPr="00D5492E">
        <w:rPr>
          <w:rFonts w:ascii="Arial" w:hAnsi="Arial" w:cs="Arial"/>
          <w:color w:val="000000"/>
          <w:sz w:val="22"/>
          <w:szCs w:val="22"/>
          <w:lang w:val="mk-MK" w:eastAsia="mk-MK"/>
        </w:rPr>
        <w:t>Гостивар</w:t>
      </w:r>
      <w:r w:rsidRPr="00D5492E">
        <w:rPr>
          <w:rFonts w:ascii="Arial" w:hAnsi="Arial" w:cs="Arial"/>
          <w:sz w:val="22"/>
          <w:szCs w:val="22"/>
          <w:lang w:val="en-US"/>
        </w:rPr>
        <w:t>.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 xml:space="preserve">Продажбата ќе се одржи на ден </w:t>
      </w:r>
      <w:r w:rsidRPr="00D5492E">
        <w:rPr>
          <w:rFonts w:ascii="Arial" w:hAnsi="Arial" w:cs="Arial"/>
          <w:b/>
          <w:sz w:val="22"/>
          <w:szCs w:val="22"/>
          <w:lang w:val="en-US"/>
        </w:rPr>
        <w:t xml:space="preserve">22.09.2025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година во </w:t>
      </w:r>
      <w:r w:rsidRPr="00D5492E">
        <w:rPr>
          <w:rFonts w:ascii="Arial" w:hAnsi="Arial" w:cs="Arial"/>
          <w:b/>
          <w:sz w:val="22"/>
          <w:szCs w:val="22"/>
          <w:lang w:val="en-US"/>
        </w:rPr>
        <w:t>12:00</w:t>
      </w:r>
      <w:r w:rsidRPr="00D5492E">
        <w:rPr>
          <w:rFonts w:ascii="Arial" w:hAnsi="Arial" w:cs="Arial"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часот  во просториите на </w:t>
      </w:r>
      <w:r w:rsidRPr="00D5492E">
        <w:rPr>
          <w:rFonts w:ascii="Arial" w:hAnsi="Arial" w:cs="Arial"/>
          <w:sz w:val="22"/>
          <w:szCs w:val="22"/>
          <w:lang w:val="ru-RU"/>
        </w:rPr>
        <w:t>Извршителот Чедомир Личковски, ул.Мајор Чеде Филиповски бр.2, Гостивар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. 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 xml:space="preserve">Почетната вредност на недвижноста, утврдена со заклучок на извршителот И.бр.42/24 од 20.05.2024 година,  изнесува </w:t>
      </w:r>
      <w:r w:rsidRPr="00D5492E">
        <w:rPr>
          <w:rFonts w:ascii="Arial" w:hAnsi="Arial" w:cs="Arial"/>
          <w:sz w:val="22"/>
          <w:szCs w:val="22"/>
          <w:lang w:val="ru-RU"/>
        </w:rPr>
        <w:t xml:space="preserve">11.973.546,00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денари, а за ова трето јавно наддавање по предлог на доверителот е намалена и изнесува </w:t>
      </w:r>
      <w:r w:rsidRPr="00D5492E">
        <w:rPr>
          <w:rFonts w:ascii="Arial" w:hAnsi="Arial" w:cs="Arial"/>
          <w:b/>
          <w:sz w:val="22"/>
          <w:szCs w:val="22"/>
          <w:lang w:val="mk-MK"/>
        </w:rPr>
        <w:t>9.580.000,00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денари под која недвижноста не може да се продаде на третото усно јавно наддавање.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 xml:space="preserve">Недвижноста е оптоварена со следните товари и службености </w:t>
      </w:r>
      <w:r w:rsidRPr="00D5492E">
        <w:rPr>
          <w:rFonts w:ascii="Arial" w:hAnsi="Arial" w:cs="Arial"/>
          <w:sz w:val="22"/>
          <w:szCs w:val="22"/>
          <w:lang w:val="en-US"/>
        </w:rPr>
        <w:t>: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 w:eastAsia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 xml:space="preserve">-Договор за залог –хипотека Оду бр.548/15 од 30.04.2015 година </w:t>
      </w:r>
      <w:r w:rsidRPr="00D5492E">
        <w:rPr>
          <w:rFonts w:ascii="Arial" w:hAnsi="Arial" w:cs="Arial"/>
          <w:sz w:val="22"/>
          <w:szCs w:val="22"/>
          <w:lang w:val="mk-MK" w:eastAsia="mk-MK"/>
        </w:rPr>
        <w:t xml:space="preserve">нотар Зулфиќар Сејфулаи Гостивар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запишана во имотен лист бр.101348,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bCs/>
          <w:sz w:val="22"/>
          <w:szCs w:val="22"/>
          <w:lang w:val="mk-MK" w:eastAsia="mk-MK"/>
        </w:rPr>
      </w:pPr>
      <w:r w:rsidRPr="00D5492E">
        <w:rPr>
          <w:rFonts w:ascii="Arial" w:hAnsi="Arial" w:cs="Arial"/>
          <w:sz w:val="22"/>
          <w:szCs w:val="22"/>
          <w:lang w:val="mk-MK" w:eastAsia="mk-MK"/>
        </w:rPr>
        <w:t>-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Договор за залог –хипотека Оду бр.548/15 од 30.04.2015 година </w:t>
      </w:r>
      <w:r w:rsidRPr="00D5492E">
        <w:rPr>
          <w:rFonts w:ascii="Arial" w:hAnsi="Arial" w:cs="Arial"/>
          <w:sz w:val="22"/>
          <w:szCs w:val="22"/>
          <w:lang w:val="mk-MK" w:eastAsia="mk-MK"/>
        </w:rPr>
        <w:t xml:space="preserve">нотар Зулфиќар Сејфулаи Гостивар заведена во делот на носителот на сопственоста од </w:t>
      </w:r>
      <w:r w:rsidRPr="00D5492E">
        <w:rPr>
          <w:rFonts w:ascii="Arial" w:hAnsi="Arial" w:cs="Arial"/>
          <w:sz w:val="22"/>
          <w:szCs w:val="22"/>
          <w:vertAlign w:val="superscript"/>
          <w:lang w:val="mk-MK"/>
        </w:rPr>
        <w:t>19/38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 на заложниот должник</w:t>
      </w:r>
      <w:r w:rsidRPr="00D5492E">
        <w:rPr>
          <w:rFonts w:ascii="Arial" w:hAnsi="Arial" w:cs="Arial"/>
          <w:bCs/>
          <w:sz w:val="22"/>
          <w:szCs w:val="22"/>
          <w:lang w:val="mk-MK" w:eastAsia="mk-MK"/>
        </w:rPr>
        <w:t xml:space="preserve"> Кујтим Мехмеди </w:t>
      </w:r>
      <w:r w:rsidRPr="00D5492E">
        <w:rPr>
          <w:rFonts w:ascii="Arial" w:hAnsi="Arial" w:cs="Arial"/>
          <w:bCs/>
          <w:sz w:val="22"/>
          <w:szCs w:val="22"/>
          <w:lang w:val="mk-MK"/>
        </w:rPr>
        <w:t xml:space="preserve">запишана во имотен лист бр.5818, 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bCs/>
          <w:sz w:val="22"/>
          <w:szCs w:val="22"/>
          <w:lang w:val="mk-MK" w:eastAsia="mk-MK"/>
        </w:rPr>
      </w:pPr>
      <w:r w:rsidRPr="00D5492E">
        <w:rPr>
          <w:rFonts w:ascii="Arial" w:hAnsi="Arial" w:cs="Arial"/>
          <w:bCs/>
          <w:sz w:val="22"/>
          <w:szCs w:val="22"/>
          <w:lang w:val="mk-MK" w:eastAsia="mk-MK"/>
        </w:rPr>
        <w:t xml:space="preserve">-Налог за Извршување врз недвижност (врз чл.166 од ЗИ) од 09.02.2024 година за И.бр.42/24 на Извршителот Чедомир Личковски од Гостивар, запишан во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имотен лист бр.101348</w:t>
      </w:r>
      <w:r w:rsidRPr="00D5492E">
        <w:rPr>
          <w:rFonts w:ascii="Arial" w:hAnsi="Arial" w:cs="Arial"/>
          <w:bCs/>
          <w:sz w:val="22"/>
          <w:szCs w:val="22"/>
          <w:lang w:val="mk-MK" w:eastAsia="mk-MK"/>
        </w:rPr>
        <w:t xml:space="preserve"> и 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bCs/>
          <w:sz w:val="22"/>
          <w:szCs w:val="22"/>
          <w:lang w:val="mk-MK" w:eastAsia="mk-MK"/>
        </w:rPr>
        <w:t xml:space="preserve">-Налог за Извршување врз недвижност (врз чл.166 од ЗИ) од 09.02.2024 година за И.бр.42/24 на Извршителот Чедомир Личковски од Гостивар, запишан во </w:t>
      </w:r>
      <w:r w:rsidRPr="00D5492E">
        <w:rPr>
          <w:rFonts w:ascii="Arial" w:hAnsi="Arial" w:cs="Arial"/>
          <w:bCs/>
          <w:sz w:val="22"/>
          <w:szCs w:val="22"/>
          <w:lang w:val="mk-MK"/>
        </w:rPr>
        <w:t>имотен лист бр</w:t>
      </w:r>
      <w:r w:rsidRPr="00D5492E">
        <w:rPr>
          <w:rFonts w:ascii="Arial" w:hAnsi="Arial" w:cs="Arial"/>
          <w:bCs/>
          <w:sz w:val="22"/>
          <w:szCs w:val="22"/>
          <w:lang w:val="mk-MK" w:eastAsia="mk-MK"/>
        </w:rPr>
        <w:t>.</w:t>
      </w:r>
      <w:r w:rsidRPr="00D5492E">
        <w:rPr>
          <w:rFonts w:ascii="Arial" w:hAnsi="Arial" w:cs="Arial"/>
          <w:bCs/>
          <w:sz w:val="22"/>
          <w:szCs w:val="22"/>
          <w:lang w:val="mk-MK"/>
        </w:rPr>
        <w:t xml:space="preserve"> 5818.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en-US"/>
        </w:rPr>
      </w:pPr>
      <w:r w:rsidRPr="00D5492E">
        <w:rPr>
          <w:rFonts w:ascii="Arial" w:hAnsi="Arial" w:cs="Arial"/>
          <w:sz w:val="22"/>
          <w:szCs w:val="22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D5492E">
        <w:rPr>
          <w:rFonts w:ascii="Arial" w:hAnsi="Arial" w:cs="Arial"/>
          <w:color w:val="00B050"/>
          <w:sz w:val="22"/>
          <w:szCs w:val="22"/>
          <w:lang w:val="mk-MK"/>
        </w:rPr>
        <w:t xml:space="preserve"> </w:t>
      </w:r>
      <w:r w:rsidRPr="00D5492E">
        <w:rPr>
          <w:rFonts w:ascii="Arial" w:hAnsi="Arial" w:cs="Arial"/>
          <w:sz w:val="22"/>
          <w:szCs w:val="22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  <w:r w:rsidRPr="00D5492E">
        <w:rPr>
          <w:rFonts w:ascii="Arial" w:hAnsi="Arial" w:cs="Arial"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Уплатата на паричните средства на име гаранција се врши на жиро сметката од </w:t>
      </w:r>
      <w:r w:rsidRPr="00D5492E">
        <w:rPr>
          <w:rFonts w:ascii="Arial" w:hAnsi="Arial" w:cs="Arial"/>
          <w:sz w:val="22"/>
          <w:szCs w:val="22"/>
          <w:lang w:val="mk-MK"/>
        </w:rPr>
        <w:lastRenderedPageBreak/>
        <w:t>извршителот со бр.</w:t>
      </w:r>
      <w:r w:rsidRPr="00D5492E">
        <w:rPr>
          <w:rFonts w:ascii="Arial" w:hAnsi="Arial" w:cs="Arial"/>
          <w:sz w:val="22"/>
          <w:szCs w:val="22"/>
          <w:lang w:val="ru-RU"/>
        </w:rPr>
        <w:t xml:space="preserve"> </w:t>
      </w:r>
      <w:proofErr w:type="gram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210065594760251</w:t>
      </w:r>
      <w:r w:rsidRPr="00D5492E">
        <w:rPr>
          <w:rFonts w:ascii="Arial" w:hAnsi="Arial" w:cs="Arial"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НЛБ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Банка</w:t>
      </w:r>
      <w:proofErr w:type="spellEnd"/>
      <w:r w:rsidRPr="00D5492E">
        <w:rPr>
          <w:rFonts w:ascii="Arial" w:hAnsi="Arial" w:cs="Arial"/>
          <w:color w:val="000000"/>
          <w:sz w:val="22"/>
          <w:szCs w:val="22"/>
          <w:lang w:val="en-US"/>
        </w:rPr>
        <w:t xml:space="preserve"> АД </w:t>
      </w:r>
      <w:proofErr w:type="spellStart"/>
      <w:r w:rsidRPr="00D5492E">
        <w:rPr>
          <w:rFonts w:ascii="Arial" w:hAnsi="Arial" w:cs="Arial"/>
          <w:color w:val="000000"/>
          <w:sz w:val="22"/>
          <w:szCs w:val="22"/>
          <w:lang w:val="en-US"/>
        </w:rPr>
        <w:t>Скопје</w:t>
      </w:r>
      <w:proofErr w:type="spellEnd"/>
      <w:r w:rsidRPr="00D5492E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D5492E">
        <w:rPr>
          <w:rFonts w:ascii="Arial" w:hAnsi="Arial" w:cs="Arial"/>
          <w:color w:val="000000"/>
          <w:sz w:val="22"/>
          <w:szCs w:val="22"/>
          <w:lang w:val="en-US"/>
        </w:rPr>
        <w:t>5007010503623</w:t>
      </w:r>
      <w:r w:rsidRPr="00D5492E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Pr="00D5492E">
        <w:rPr>
          <w:rFonts w:ascii="Arial" w:hAnsi="Arial" w:cs="Arial"/>
          <w:sz w:val="22"/>
          <w:szCs w:val="22"/>
          <w:lang w:val="en-US"/>
        </w:rPr>
        <w:t xml:space="preserve"> </w:t>
      </w:r>
      <w:r w:rsidRPr="00D5492E">
        <w:rPr>
          <w:rFonts w:ascii="Arial" w:hAnsi="Arial" w:cs="Arial"/>
          <w:sz w:val="22"/>
          <w:szCs w:val="22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D5492E">
        <w:rPr>
          <w:rFonts w:ascii="Arial" w:hAnsi="Arial" w:cs="Arial"/>
          <w:sz w:val="22"/>
          <w:szCs w:val="22"/>
          <w:lang w:val="en-US"/>
        </w:rPr>
        <w:t xml:space="preserve">15 </w:t>
      </w:r>
      <w:r w:rsidRPr="00D5492E">
        <w:rPr>
          <w:rFonts w:ascii="Arial" w:hAnsi="Arial" w:cs="Arial"/>
          <w:sz w:val="22"/>
          <w:szCs w:val="22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>Овој заклучок ќе се објави во следните средства за јавно информирање Нова Македонија</w:t>
      </w:r>
      <w:r w:rsidRPr="00D5492E">
        <w:rPr>
          <w:rFonts w:ascii="Arial" w:hAnsi="Arial" w:cs="Arial"/>
          <w:sz w:val="22"/>
          <w:szCs w:val="22"/>
          <w:lang w:val="ru-RU"/>
        </w:rPr>
        <w:t xml:space="preserve"> и електронски на веб страницата на Комората</w:t>
      </w:r>
      <w:r w:rsidRPr="00D5492E">
        <w:rPr>
          <w:rFonts w:ascii="Arial" w:hAnsi="Arial" w:cs="Arial"/>
          <w:sz w:val="22"/>
          <w:szCs w:val="22"/>
          <w:lang w:val="mk-MK"/>
        </w:rPr>
        <w:t>.</w:t>
      </w:r>
    </w:p>
    <w:p w:rsidR="00D5492E" w:rsidRPr="00D5492E" w:rsidRDefault="00D5492E" w:rsidP="00D5492E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rFonts w:ascii="Arial" w:hAnsi="Arial" w:cs="Arial"/>
          <w:sz w:val="22"/>
          <w:szCs w:val="22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D5492E" w:rsidRPr="00D5492E" w:rsidRDefault="00D5492E" w:rsidP="00D5492E">
      <w:pPr>
        <w:jc w:val="both"/>
        <w:rPr>
          <w:rFonts w:ascii="Arial" w:hAnsi="Arial" w:cs="Arial"/>
          <w:sz w:val="22"/>
          <w:szCs w:val="22"/>
          <w:lang w:val="mk-MK"/>
        </w:rPr>
      </w:pP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  <w:t xml:space="preserve">   </w:t>
      </w:r>
      <w:r w:rsidRPr="00D5492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D5492E"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2"/>
        <w:gridCol w:w="5229"/>
      </w:tblGrid>
      <w:tr w:rsidR="00D5492E" w:rsidRPr="00D5492E" w:rsidTr="0033432E">
        <w:tc>
          <w:tcPr>
            <w:tcW w:w="5377" w:type="dxa"/>
          </w:tcPr>
          <w:p w:rsidR="00D5492E" w:rsidRPr="00D5492E" w:rsidRDefault="00D5492E" w:rsidP="0033432E">
            <w:pPr>
              <w:jc w:val="both"/>
              <w:rPr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:rsidR="00D5492E" w:rsidRPr="00D5492E" w:rsidRDefault="00D5492E" w:rsidP="0033432E">
            <w:pPr>
              <w:jc w:val="center"/>
              <w:rPr>
                <w:sz w:val="22"/>
                <w:szCs w:val="22"/>
                <w:lang w:val="mk-MK"/>
              </w:rPr>
            </w:pPr>
            <w:r w:rsidRPr="00D5492E"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>Чедомир Личковски</w:t>
            </w:r>
          </w:p>
        </w:tc>
      </w:tr>
    </w:tbl>
    <w:p w:rsidR="00D5492E" w:rsidRPr="00D5492E" w:rsidRDefault="00D5492E" w:rsidP="00D5492E">
      <w:pPr>
        <w:jc w:val="both"/>
        <w:rPr>
          <w:sz w:val="22"/>
          <w:szCs w:val="22"/>
          <w:lang w:val="mk-MK"/>
        </w:rPr>
      </w:pPr>
      <w:r w:rsidRPr="00D5492E">
        <w:rPr>
          <w:sz w:val="22"/>
          <w:szCs w:val="22"/>
          <w:lang w:val="mk-MK"/>
        </w:rPr>
        <w:t xml:space="preserve">              </w:t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</w:r>
      <w:r w:rsidRPr="00D5492E">
        <w:rPr>
          <w:sz w:val="22"/>
          <w:szCs w:val="22"/>
          <w:lang w:val="mk-MK"/>
        </w:rPr>
        <w:tab/>
        <w:t xml:space="preserve">        </w:t>
      </w:r>
    </w:p>
    <w:p w:rsidR="00D5492E" w:rsidRDefault="00D5492E" w:rsidP="00D5492E">
      <w:pPr>
        <w:pStyle w:val="BodyText"/>
        <w:rPr>
          <w:rFonts w:ascii="Arial" w:hAnsi="Arial" w:cs="Arial"/>
          <w:lang w:val="mk-MK"/>
        </w:rPr>
      </w:pPr>
    </w:p>
    <w:p w:rsidR="006F2F89" w:rsidRDefault="006F2F89"/>
    <w:sectPr w:rsidR="006F2F89" w:rsidSect="006971FC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492E"/>
    <w:rsid w:val="006F2F89"/>
    <w:rsid w:val="00D54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92E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5492E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D5492E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9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92E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2025-09-03T05:47:00Z</dcterms:created>
  <dcterms:modified xsi:type="dcterms:W3CDTF">2025-09-03T05:55:00Z</dcterms:modified>
</cp:coreProperties>
</file>