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5F57" w14:textId="77777777"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043EC" w14:paraId="5220B514" w14:textId="77777777" w:rsidTr="009851EC">
        <w:tc>
          <w:tcPr>
            <w:tcW w:w="6204" w:type="dxa"/>
            <w:hideMark/>
          </w:tcPr>
          <w:p w14:paraId="29088804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43EC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E1BF97D" wp14:editId="723F0CDE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756BB26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5567566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0E2A6AB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043EC" w14:paraId="1317DF54" w14:textId="77777777" w:rsidTr="009851EC">
        <w:tc>
          <w:tcPr>
            <w:tcW w:w="6204" w:type="dxa"/>
            <w:hideMark/>
          </w:tcPr>
          <w:p w14:paraId="4BCF9AA1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43E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14:paraId="766BEE92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5AC604F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60F7878C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43EC">
              <w:rPr>
                <w:rFonts w:ascii="Arial" w:eastAsia="Times New Roman" w:hAnsi="Arial" w:cs="Arial"/>
              </w:rPr>
              <w:t>Образец бр.</w:t>
            </w:r>
            <w:r w:rsidR="008C43A1" w:rsidRPr="001043EC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1043EC" w14:paraId="27683330" w14:textId="77777777" w:rsidTr="009851EC">
        <w:tc>
          <w:tcPr>
            <w:tcW w:w="6204" w:type="dxa"/>
            <w:hideMark/>
          </w:tcPr>
          <w:p w14:paraId="15DF4859" w14:textId="77777777" w:rsidR="00823825" w:rsidRPr="001043EC" w:rsidRDefault="001043E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043EC">
              <w:rPr>
                <w:rFonts w:ascii="Arial" w:eastAsia="Times New Roman" w:hAnsi="Arial" w:cs="Arial"/>
                <w:lang w:val="en-US"/>
              </w:rPr>
              <w:t>Емилија Павловска</w:t>
            </w:r>
          </w:p>
        </w:tc>
        <w:tc>
          <w:tcPr>
            <w:tcW w:w="566" w:type="dxa"/>
          </w:tcPr>
          <w:p w14:paraId="31E745F7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073E116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88EBFFD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043EC" w14:paraId="5E0C3739" w14:textId="77777777" w:rsidTr="009851EC">
        <w:tc>
          <w:tcPr>
            <w:tcW w:w="6204" w:type="dxa"/>
            <w:hideMark/>
          </w:tcPr>
          <w:p w14:paraId="63808FF4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43E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14:paraId="561F6379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D37FF03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83ED8B4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043EC" w14:paraId="106F269C" w14:textId="77777777" w:rsidTr="009851EC">
        <w:tc>
          <w:tcPr>
            <w:tcW w:w="6204" w:type="dxa"/>
            <w:hideMark/>
          </w:tcPr>
          <w:p w14:paraId="15AF6AA3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43E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14:paraId="059ABC65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C3A259E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14:paraId="7DC1D757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43EC">
              <w:rPr>
                <w:rFonts w:ascii="Arial" w:eastAsia="Times New Roman" w:hAnsi="Arial" w:cs="Arial"/>
                <w:color w:val="000000"/>
              </w:rPr>
              <w:t>И.бр</w:t>
            </w:r>
            <w:r w:rsidRPr="001043E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043EC" w:rsidRPr="001043EC">
              <w:rPr>
                <w:rFonts w:ascii="Arial" w:eastAsia="Times New Roman" w:hAnsi="Arial" w:cs="Arial"/>
                <w:lang w:val="en-US"/>
              </w:rPr>
              <w:t>1002/2022</w:t>
            </w:r>
            <w:r w:rsidRPr="001043E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1043EC" w14:paraId="173229C5" w14:textId="77777777" w:rsidTr="009851EC">
        <w:tc>
          <w:tcPr>
            <w:tcW w:w="6204" w:type="dxa"/>
            <w:hideMark/>
          </w:tcPr>
          <w:p w14:paraId="1328E7D8" w14:textId="77777777" w:rsidR="00823825" w:rsidRPr="001043EC" w:rsidRDefault="001043E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043EC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14:paraId="235313A6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45259A66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EA125C1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043EC" w14:paraId="2D046F41" w14:textId="77777777" w:rsidTr="009851EC">
        <w:tc>
          <w:tcPr>
            <w:tcW w:w="6204" w:type="dxa"/>
            <w:hideMark/>
          </w:tcPr>
          <w:p w14:paraId="7A791712" w14:textId="77777777" w:rsidR="00823825" w:rsidRPr="001043EC" w:rsidRDefault="001043E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043EC">
              <w:rPr>
                <w:rFonts w:ascii="Arial" w:eastAsia="Times New Roman" w:hAnsi="Arial" w:cs="Arial"/>
                <w:lang w:val="en-US"/>
              </w:rPr>
              <w:t>ул.Ванчо Прке бр.121 лок.Кубус</w:t>
            </w:r>
          </w:p>
        </w:tc>
        <w:tc>
          <w:tcPr>
            <w:tcW w:w="566" w:type="dxa"/>
          </w:tcPr>
          <w:p w14:paraId="127709B3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BBBCAC0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E5E26D3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043EC" w14:paraId="75A8C420" w14:textId="77777777" w:rsidTr="009851EC">
        <w:tc>
          <w:tcPr>
            <w:tcW w:w="6204" w:type="dxa"/>
            <w:hideMark/>
          </w:tcPr>
          <w:p w14:paraId="1E2CDB2B" w14:textId="77777777" w:rsidR="00823825" w:rsidRPr="001043EC" w:rsidRDefault="001043E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043EC">
              <w:rPr>
                <w:rFonts w:ascii="Arial" w:eastAsia="Times New Roman" w:hAnsi="Arial" w:cs="Arial"/>
                <w:lang w:val="en-US"/>
              </w:rPr>
              <w:t>тел. 032-613-009</w:t>
            </w:r>
          </w:p>
        </w:tc>
        <w:tc>
          <w:tcPr>
            <w:tcW w:w="566" w:type="dxa"/>
          </w:tcPr>
          <w:p w14:paraId="39E0D032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09FE443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1048681" w14:textId="77777777" w:rsidR="00823825" w:rsidRPr="001043EC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14:paraId="6678ECFB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1043EC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</w:t>
      </w:r>
      <w:r w:rsidRPr="001043EC">
        <w:rPr>
          <w:rFonts w:ascii="Arial" w:hAnsi="Arial" w:cs="Arial"/>
          <w:bCs/>
          <w:color w:val="000080"/>
          <w:sz w:val="20"/>
          <w:szCs w:val="20"/>
        </w:rPr>
        <w:tab/>
      </w:r>
      <w:r w:rsidRPr="001043EC">
        <w:rPr>
          <w:rFonts w:ascii="Arial" w:hAnsi="Arial" w:cs="Arial"/>
          <w:bCs/>
          <w:color w:val="000080"/>
          <w:sz w:val="20"/>
          <w:szCs w:val="20"/>
        </w:rPr>
        <w:tab/>
      </w:r>
      <w:r w:rsidRPr="001043EC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14:paraId="48284A40" w14:textId="77777777" w:rsidR="00823825" w:rsidRPr="001043EC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4CB556C3" w14:textId="77777777" w:rsidR="0021499C" w:rsidRPr="001043EC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043E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043EC" w:rsidRPr="001043EC">
        <w:rPr>
          <w:rFonts w:ascii="Arial" w:hAnsi="Arial" w:cs="Arial"/>
        </w:rPr>
        <w:t>Емилија Павловска</w:t>
      </w:r>
      <w:r w:rsidRPr="001043EC">
        <w:rPr>
          <w:rFonts w:ascii="Arial" w:hAnsi="Arial" w:cs="Arial"/>
        </w:rPr>
        <w:t xml:space="preserve"> од </w:t>
      </w:r>
      <w:bookmarkStart w:id="6" w:name="Adresa"/>
      <w:bookmarkEnd w:id="6"/>
      <w:r w:rsidR="001043EC" w:rsidRPr="001043EC">
        <w:rPr>
          <w:rFonts w:ascii="Arial" w:hAnsi="Arial" w:cs="Arial"/>
        </w:rPr>
        <w:t>Штип, ул.Ванчо Прке бр.121 лок.Кубус</w:t>
      </w:r>
      <w:r w:rsidRPr="001043E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043EC" w:rsidRPr="001043EC">
        <w:rPr>
          <w:rFonts w:ascii="Arial" w:hAnsi="Arial" w:cs="Arial"/>
        </w:rPr>
        <w:t>доверителот Стопанска Банка АД Скопје</w:t>
      </w:r>
      <w:r w:rsidRPr="001043EC">
        <w:rPr>
          <w:rFonts w:ascii="Arial" w:hAnsi="Arial" w:cs="Arial"/>
        </w:rPr>
        <w:t xml:space="preserve"> од </w:t>
      </w:r>
      <w:bookmarkStart w:id="8" w:name="DovGrad1"/>
      <w:bookmarkEnd w:id="8"/>
      <w:r w:rsidR="001043EC" w:rsidRPr="001043EC">
        <w:rPr>
          <w:rFonts w:ascii="Arial" w:hAnsi="Arial" w:cs="Arial"/>
        </w:rPr>
        <w:t>Скопје</w:t>
      </w:r>
      <w:r w:rsidRPr="001043EC">
        <w:rPr>
          <w:rFonts w:ascii="Arial" w:hAnsi="Arial" w:cs="Arial"/>
          <w:lang w:val="ru-RU"/>
        </w:rPr>
        <w:t xml:space="preserve"> </w:t>
      </w:r>
      <w:r w:rsidRPr="001043EC">
        <w:rPr>
          <w:rFonts w:ascii="Arial" w:hAnsi="Arial" w:cs="Arial"/>
        </w:rPr>
        <w:t xml:space="preserve">со </w:t>
      </w:r>
      <w:bookmarkStart w:id="9" w:name="opis_edb1"/>
      <w:bookmarkEnd w:id="9"/>
      <w:r w:rsidR="001043EC" w:rsidRPr="001043EC">
        <w:rPr>
          <w:rFonts w:ascii="Arial" w:hAnsi="Arial" w:cs="Arial"/>
        </w:rPr>
        <w:t>ЕДБ 4030996116744</w:t>
      </w:r>
      <w:r w:rsidR="001043EC">
        <w:rPr>
          <w:rFonts w:ascii="Arial" w:hAnsi="Arial" w:cs="Arial"/>
        </w:rPr>
        <w:t>,</w:t>
      </w:r>
      <w:r w:rsidR="001043EC" w:rsidRPr="001043EC">
        <w:rPr>
          <w:rFonts w:ascii="Arial" w:hAnsi="Arial" w:cs="Arial"/>
        </w:rPr>
        <w:t xml:space="preserve"> ЕМБС 4065549</w:t>
      </w:r>
      <w:r w:rsidRPr="001043EC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1043EC" w:rsidRPr="001043EC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1043EC" w:rsidRPr="001043EC">
        <w:rPr>
          <w:rFonts w:ascii="Arial" w:hAnsi="Arial" w:cs="Arial"/>
        </w:rPr>
        <w:t>ул.11-ти Октомври бр.7 преку полномошник Адвокат Борче Ивановски од Куманово</w:t>
      </w:r>
      <w:r w:rsidRPr="001043EC">
        <w:rPr>
          <w:rFonts w:ascii="Arial" w:hAnsi="Arial" w:cs="Arial"/>
          <w:lang w:val="ru-RU"/>
        </w:rPr>
        <w:t>,</w:t>
      </w:r>
      <w:r w:rsidRPr="001043E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043E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043EC" w:rsidRPr="001043EC">
        <w:rPr>
          <w:rFonts w:ascii="Arial" w:hAnsi="Arial" w:cs="Arial"/>
        </w:rPr>
        <w:t>ОДУ бр.235/2014 од 22.08.2014 година на Нотар Јадранка Коцевска од Свети Николе</w:t>
      </w:r>
      <w:r w:rsidRPr="001043E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043EC" w:rsidRPr="001043EC">
        <w:rPr>
          <w:rFonts w:ascii="Arial" w:hAnsi="Arial" w:cs="Arial"/>
        </w:rPr>
        <w:t>должни</w:t>
      </w:r>
      <w:r w:rsidR="00000D29">
        <w:rPr>
          <w:rFonts w:ascii="Arial" w:hAnsi="Arial" w:cs="Arial"/>
        </w:rPr>
        <w:t>кот</w:t>
      </w:r>
      <w:r w:rsidR="001043EC" w:rsidRPr="001043EC">
        <w:rPr>
          <w:rFonts w:ascii="Arial" w:hAnsi="Arial" w:cs="Arial"/>
        </w:rPr>
        <w:t xml:space="preserve"> Весна Китановска</w:t>
      </w:r>
      <w:r w:rsidRPr="001043EC">
        <w:rPr>
          <w:rFonts w:ascii="Arial" w:hAnsi="Arial" w:cs="Arial"/>
        </w:rPr>
        <w:t xml:space="preserve"> од </w:t>
      </w:r>
      <w:bookmarkStart w:id="19" w:name="DolzGrad1"/>
      <w:bookmarkEnd w:id="19"/>
      <w:r w:rsidR="001043EC" w:rsidRPr="001043EC">
        <w:rPr>
          <w:rFonts w:ascii="Arial" w:hAnsi="Arial" w:cs="Arial"/>
        </w:rPr>
        <w:t>Свети Николе</w:t>
      </w:r>
      <w:r w:rsidRPr="001043EC">
        <w:rPr>
          <w:rFonts w:ascii="Arial" w:hAnsi="Arial" w:cs="Arial"/>
        </w:rPr>
        <w:t xml:space="preserve"> со 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1043EC" w:rsidRPr="001043EC">
        <w:rPr>
          <w:rFonts w:ascii="Arial" w:hAnsi="Arial" w:cs="Arial"/>
          <w:lang w:val="ru-RU"/>
        </w:rPr>
        <w:t>живеалиште на</w:t>
      </w:r>
      <w:r w:rsidRPr="001043EC">
        <w:rPr>
          <w:rFonts w:ascii="Arial" w:hAnsi="Arial" w:cs="Arial"/>
        </w:rPr>
        <w:t xml:space="preserve"> </w:t>
      </w:r>
      <w:bookmarkStart w:id="24" w:name="adresa1_dolz"/>
      <w:bookmarkEnd w:id="24"/>
      <w:r w:rsidR="001043EC" w:rsidRPr="001043EC">
        <w:rPr>
          <w:rFonts w:ascii="Arial" w:hAnsi="Arial" w:cs="Arial"/>
        </w:rPr>
        <w:t>ул.Вељко Влаховиќ бр.139</w:t>
      </w:r>
      <w:r w:rsidRPr="001043EC">
        <w:rPr>
          <w:rFonts w:ascii="Arial" w:hAnsi="Arial" w:cs="Arial"/>
        </w:rPr>
        <w:t xml:space="preserve"> </w:t>
      </w:r>
      <w:bookmarkStart w:id="25" w:name="Dolznik2"/>
      <w:bookmarkEnd w:id="25"/>
      <w:r w:rsidR="001043EC" w:rsidRPr="001043EC">
        <w:rPr>
          <w:rFonts w:ascii="Arial" w:hAnsi="Arial" w:cs="Arial"/>
        </w:rPr>
        <w:t xml:space="preserve">и </w:t>
      </w:r>
      <w:r w:rsidR="00000D29">
        <w:rPr>
          <w:rFonts w:ascii="Arial" w:hAnsi="Arial" w:cs="Arial"/>
        </w:rPr>
        <w:t xml:space="preserve">заложниот должник </w:t>
      </w:r>
      <w:r w:rsidR="001043EC" w:rsidRPr="001043EC">
        <w:rPr>
          <w:rFonts w:ascii="Arial" w:hAnsi="Arial" w:cs="Arial"/>
        </w:rPr>
        <w:t>Бобан Китановски од Свети Николе со живеалиште на ул.Вељко Влаховиќ бр.139,</w:t>
      </w:r>
      <w:r w:rsidRPr="001043EC">
        <w:rPr>
          <w:rFonts w:ascii="Arial" w:hAnsi="Arial" w:cs="Arial"/>
        </w:rPr>
        <w:t xml:space="preserve"> за спроведување на извршување</w:t>
      </w:r>
      <w:r w:rsidR="001043EC">
        <w:rPr>
          <w:rFonts w:ascii="Arial" w:hAnsi="Arial" w:cs="Arial"/>
        </w:rPr>
        <w:t>,</w:t>
      </w:r>
      <w:bookmarkStart w:id="26" w:name="VredPredmet"/>
      <w:bookmarkEnd w:id="26"/>
      <w:r w:rsidRPr="001043EC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1043EC" w:rsidRPr="001043EC">
        <w:rPr>
          <w:rFonts w:ascii="Arial" w:hAnsi="Arial" w:cs="Arial"/>
        </w:rPr>
        <w:t>15.05.2025</w:t>
      </w:r>
      <w:r w:rsidRPr="001043EC">
        <w:rPr>
          <w:rFonts w:ascii="Arial" w:hAnsi="Arial" w:cs="Arial"/>
        </w:rPr>
        <w:t xml:space="preserve"> година го донесува следниот:</w:t>
      </w:r>
    </w:p>
    <w:p w14:paraId="63CE44B0" w14:textId="77777777" w:rsidR="00DF1299" w:rsidRPr="001043EC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43EC">
        <w:rPr>
          <w:rFonts w:ascii="Arial" w:hAnsi="Arial" w:cs="Arial"/>
        </w:rPr>
        <w:t xml:space="preserve"> </w:t>
      </w:r>
      <w:r w:rsidR="00DF1299" w:rsidRPr="001043EC">
        <w:rPr>
          <w:rFonts w:ascii="Arial" w:hAnsi="Arial" w:cs="Arial"/>
        </w:rPr>
        <w:t xml:space="preserve">                                                                           </w:t>
      </w:r>
      <w:r w:rsidR="00226087" w:rsidRPr="001043EC">
        <w:rPr>
          <w:rFonts w:ascii="Arial" w:hAnsi="Arial" w:cs="Arial"/>
        </w:rPr>
        <w:t xml:space="preserve"> </w:t>
      </w:r>
      <w:r w:rsidR="00DF1299" w:rsidRPr="001043EC">
        <w:rPr>
          <w:rFonts w:ascii="Arial" w:hAnsi="Arial" w:cs="Arial"/>
        </w:rPr>
        <w:t xml:space="preserve">                                                                                      </w:t>
      </w:r>
    </w:p>
    <w:p w14:paraId="7B2E0992" w14:textId="77777777" w:rsidR="00B51157" w:rsidRPr="001043EC" w:rsidRDefault="00B51157" w:rsidP="00B51157">
      <w:pPr>
        <w:spacing w:after="0"/>
        <w:jc w:val="center"/>
        <w:rPr>
          <w:rFonts w:ascii="Arial" w:hAnsi="Arial" w:cs="Arial"/>
        </w:rPr>
      </w:pPr>
      <w:r w:rsidRPr="001043EC">
        <w:rPr>
          <w:rFonts w:ascii="Arial" w:hAnsi="Arial" w:cs="Arial"/>
        </w:rPr>
        <w:t>З А К Л У Ч О К</w:t>
      </w:r>
    </w:p>
    <w:p w14:paraId="30322CFC" w14:textId="77777777" w:rsidR="00B51157" w:rsidRPr="001043EC" w:rsidRDefault="00B51157" w:rsidP="00B51157">
      <w:pPr>
        <w:spacing w:after="0"/>
        <w:jc w:val="center"/>
        <w:rPr>
          <w:rFonts w:ascii="Arial" w:hAnsi="Arial" w:cs="Arial"/>
        </w:rPr>
      </w:pPr>
      <w:r w:rsidRPr="001043EC">
        <w:rPr>
          <w:rFonts w:ascii="Arial" w:hAnsi="Arial" w:cs="Arial"/>
        </w:rPr>
        <w:t>ЗА УСНА ЈАВНА ПРОДАЖБА</w:t>
      </w:r>
    </w:p>
    <w:p w14:paraId="0FF49EA2" w14:textId="77777777" w:rsidR="00B51157" w:rsidRPr="001043EC" w:rsidRDefault="00B51157" w:rsidP="00B51157">
      <w:pPr>
        <w:spacing w:after="0"/>
        <w:jc w:val="center"/>
        <w:rPr>
          <w:rFonts w:ascii="Arial" w:hAnsi="Arial" w:cs="Arial"/>
        </w:rPr>
      </w:pPr>
      <w:r w:rsidRPr="001043EC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1043EC">
        <w:rPr>
          <w:rFonts w:ascii="Arial" w:hAnsi="Arial" w:cs="Arial"/>
          <w:bCs/>
        </w:rPr>
        <w:t>Законот за извршување</w:t>
      </w:r>
      <w:r w:rsidRPr="001043EC">
        <w:rPr>
          <w:rFonts w:ascii="Arial" w:hAnsi="Arial" w:cs="Arial"/>
        </w:rPr>
        <w:t>)</w:t>
      </w:r>
    </w:p>
    <w:p w14:paraId="36767396" w14:textId="77777777" w:rsidR="00DF1299" w:rsidRPr="001043EC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3D06F3" w14:textId="77777777" w:rsidR="00DF1299" w:rsidRPr="001043EC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43EC">
        <w:rPr>
          <w:rFonts w:ascii="Arial" w:hAnsi="Arial" w:cs="Arial"/>
        </w:rPr>
        <w:t xml:space="preserve"> </w:t>
      </w:r>
    </w:p>
    <w:p w14:paraId="354080BA" w14:textId="77777777" w:rsidR="001043EC" w:rsidRDefault="00211393" w:rsidP="001043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 xml:space="preserve">СЕ ОПРЕДЕЛУВА </w:t>
      </w:r>
      <w:r w:rsidR="001043EC">
        <w:rPr>
          <w:rFonts w:ascii="Arial" w:eastAsia="Times New Roman" w:hAnsi="Arial" w:cs="Arial"/>
        </w:rPr>
        <w:t xml:space="preserve">трета </w:t>
      </w:r>
      <w:r w:rsidRPr="001043EC">
        <w:rPr>
          <w:rFonts w:ascii="Arial" w:eastAsia="Times New Roman" w:hAnsi="Arial" w:cs="Arial"/>
        </w:rPr>
        <w:t xml:space="preserve">продажба со усно  јавно наддавање на недвижноста </w:t>
      </w:r>
      <w:r w:rsidR="001043EC">
        <w:rPr>
          <w:rFonts w:ascii="Arial" w:eastAsia="Times New Roman" w:hAnsi="Arial" w:cs="Arial"/>
        </w:rPr>
        <w:t>на должникот Бобан Китановски запишана во имотен лист број 5127 со ознаки:</w:t>
      </w:r>
    </w:p>
    <w:p w14:paraId="06974181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ЛИСТ Б:</w:t>
      </w:r>
    </w:p>
    <w:p w14:paraId="73B8B4D9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-КП.бр.11146, вм 11 Октомври, култура гз гиз, површина 70 м2;</w:t>
      </w:r>
    </w:p>
    <w:p w14:paraId="0FFED183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-КП.бр.11146, вм 11 Октомври, култура гз зпз 1, површина 87 м2;</w:t>
      </w:r>
    </w:p>
    <w:p w14:paraId="3DB838A0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-КП.бр.11146, вм 11 Октомври, култура гз зпз 2, површина 17 м2;</w:t>
      </w:r>
    </w:p>
    <w:p w14:paraId="5F612824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-КП.бр.11146, вм 11 Октомври, култура гз зпз 3, површина 18 м2;</w:t>
      </w:r>
    </w:p>
    <w:p w14:paraId="2D4DDB00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ЛИСТ В:</w:t>
      </w:r>
    </w:p>
    <w:p w14:paraId="1ED75463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 бр.11146, адреса 11 Октомври бр.66, број на зграда 1, намена Стан во семејна зграда, влез 1, кат ПР, број 1, површина 60 м2;</w:t>
      </w:r>
    </w:p>
    <w:p w14:paraId="45CD1515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 бр.11146, адреса 11 Октомври бр.66, број на зграда 1, намена Помошни простории, влез 1, кат СУ, број 0, површина 12 м2;</w:t>
      </w:r>
    </w:p>
    <w:p w14:paraId="67AEAC87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 бр.11146, адреса 11 Октомври бр.66, број на зграда 2, намена Помошни згради, влез 1, кат ПР, број 0, површина 9 м2;</w:t>
      </w:r>
    </w:p>
    <w:p w14:paraId="331DB872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 бр.11146, адреса 11 Октомври бр.66, број на зграда 2, намена Стан во семејна зграда, влез 1, кат ПР, број 0, површина 3 м2;</w:t>
      </w:r>
    </w:p>
    <w:p w14:paraId="1639BB7E" w14:textId="77777777" w:rsidR="001043EC" w:rsidRPr="00A445A3" w:rsidRDefault="001043EC" w:rsidP="001043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45A3">
        <w:rPr>
          <w:rFonts w:ascii="Arial" w:hAnsi="Arial" w:cs="Arial"/>
        </w:rPr>
        <w:t>-КП бр.11146, адреса 11 Октомври бр.66, број на зграда 3, намена Помошни згради, влез 1, кат ПР, број 0, површина 9 м2.</w:t>
      </w:r>
    </w:p>
    <w:p w14:paraId="3FDA8E97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Продажбата ќе се одржи на ден</w:t>
      </w:r>
      <w:r w:rsidR="001043EC">
        <w:rPr>
          <w:rFonts w:ascii="Arial" w:eastAsia="Times New Roman" w:hAnsi="Arial" w:cs="Arial"/>
        </w:rPr>
        <w:t xml:space="preserve"> 12.06.2025 година во 12.00 часот</w:t>
      </w:r>
      <w:r w:rsidRPr="001043EC">
        <w:rPr>
          <w:rFonts w:ascii="Arial" w:eastAsia="Times New Roman" w:hAnsi="Arial" w:cs="Arial"/>
        </w:rPr>
        <w:t xml:space="preserve"> во просториите на</w:t>
      </w:r>
      <w:r w:rsidR="001043EC">
        <w:rPr>
          <w:rFonts w:ascii="Arial" w:eastAsia="Times New Roman" w:hAnsi="Arial" w:cs="Arial"/>
        </w:rPr>
        <w:t xml:space="preserve"> извршителот Емилија Павловска на ул.Ванчо Прќе бр.121 Штип</w:t>
      </w:r>
      <w:r w:rsidRPr="001043EC">
        <w:rPr>
          <w:rFonts w:ascii="Arial" w:eastAsia="Times New Roman" w:hAnsi="Arial" w:cs="Arial"/>
        </w:rPr>
        <w:t xml:space="preserve">. </w:t>
      </w:r>
    </w:p>
    <w:p w14:paraId="3E9D0B13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Почетната вредност на недвижноста, утврдена со заклучок на извршителот</w:t>
      </w:r>
      <w:r w:rsidR="001043EC">
        <w:rPr>
          <w:rFonts w:ascii="Arial" w:eastAsia="Times New Roman" w:hAnsi="Arial" w:cs="Arial"/>
        </w:rPr>
        <w:t xml:space="preserve"> од 19.11.2024 година и намалена по предлог на доверителот</w:t>
      </w:r>
      <w:r w:rsidRPr="001043EC">
        <w:rPr>
          <w:rFonts w:ascii="Arial" w:eastAsia="Times New Roman" w:hAnsi="Arial" w:cs="Arial"/>
        </w:rPr>
        <w:t xml:space="preserve"> изнесува</w:t>
      </w:r>
      <w:r w:rsidR="001043EC">
        <w:rPr>
          <w:rFonts w:ascii="Arial" w:eastAsia="Times New Roman" w:hAnsi="Arial" w:cs="Arial"/>
        </w:rPr>
        <w:t xml:space="preserve"> 2.312.400,00 </w:t>
      </w:r>
      <w:r w:rsidRPr="001043EC">
        <w:rPr>
          <w:rFonts w:ascii="Arial" w:eastAsia="Times New Roman" w:hAnsi="Arial" w:cs="Arial"/>
        </w:rPr>
        <w:t>денари, под која недвижноста не може да се продаде на</w:t>
      </w:r>
      <w:r w:rsidR="001043EC">
        <w:rPr>
          <w:rFonts w:ascii="Arial" w:eastAsia="Times New Roman" w:hAnsi="Arial" w:cs="Arial"/>
        </w:rPr>
        <w:t xml:space="preserve"> третото</w:t>
      </w:r>
      <w:r w:rsidRPr="001043EC">
        <w:rPr>
          <w:rFonts w:ascii="Arial" w:eastAsia="Times New Roman" w:hAnsi="Arial" w:cs="Arial"/>
        </w:rPr>
        <w:t xml:space="preserve"> јавно наддавање.</w:t>
      </w:r>
    </w:p>
    <w:p w14:paraId="29BEB809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 xml:space="preserve">Недвижноста </w:t>
      </w:r>
      <w:r w:rsidR="001043EC">
        <w:rPr>
          <w:rFonts w:ascii="Arial" w:eastAsia="Times New Roman" w:hAnsi="Arial" w:cs="Arial"/>
        </w:rPr>
        <w:t>н</w:t>
      </w:r>
      <w:r w:rsidRPr="001043EC">
        <w:rPr>
          <w:rFonts w:ascii="Arial" w:eastAsia="Times New Roman" w:hAnsi="Arial" w:cs="Arial"/>
        </w:rPr>
        <w:t xml:space="preserve">е </w:t>
      </w:r>
      <w:r w:rsidR="001043EC">
        <w:rPr>
          <w:rFonts w:ascii="Arial" w:eastAsia="Times New Roman" w:hAnsi="Arial" w:cs="Arial"/>
        </w:rPr>
        <w:t xml:space="preserve">е </w:t>
      </w:r>
      <w:r w:rsidRPr="001043EC">
        <w:rPr>
          <w:rFonts w:ascii="Arial" w:eastAsia="Times New Roman" w:hAnsi="Arial" w:cs="Arial"/>
        </w:rPr>
        <w:t>оптоварена со</w:t>
      </w:r>
      <w:r w:rsidR="001043EC">
        <w:rPr>
          <w:rFonts w:ascii="Arial" w:eastAsia="Times New Roman" w:hAnsi="Arial" w:cs="Arial"/>
        </w:rPr>
        <w:t xml:space="preserve"> други</w:t>
      </w:r>
      <w:r w:rsidRPr="001043EC">
        <w:rPr>
          <w:rFonts w:ascii="Arial" w:eastAsia="Times New Roman" w:hAnsi="Arial" w:cs="Arial"/>
        </w:rPr>
        <w:t xml:space="preserve"> товари и службености</w:t>
      </w:r>
      <w:r w:rsidR="001043EC">
        <w:rPr>
          <w:rFonts w:ascii="Arial" w:eastAsia="Times New Roman" w:hAnsi="Arial" w:cs="Arial"/>
        </w:rPr>
        <w:t>.</w:t>
      </w:r>
      <w:r w:rsidRPr="001043EC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043EC">
        <w:rPr>
          <w:rFonts w:ascii="Arial" w:eastAsia="Times New Roman" w:hAnsi="Arial" w:cs="Arial"/>
          <w:color w:val="00B050"/>
        </w:rPr>
        <w:t xml:space="preserve"> </w:t>
      </w:r>
      <w:r w:rsidRPr="001043EC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4A70CD6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67A41FDE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1043EC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="001043EC">
        <w:rPr>
          <w:rFonts w:ascii="Arial" w:eastAsia="Times New Roman" w:hAnsi="Arial" w:cs="Arial"/>
        </w:rPr>
        <w:t xml:space="preserve">200002348771863 </w:t>
      </w:r>
      <w:r w:rsidRPr="001043EC">
        <w:rPr>
          <w:rFonts w:ascii="Arial" w:eastAsia="Times New Roman" w:hAnsi="Arial" w:cs="Arial"/>
        </w:rPr>
        <w:t>која се води кај</w:t>
      </w:r>
      <w:r w:rsidR="001043EC">
        <w:rPr>
          <w:rFonts w:ascii="Arial" w:eastAsia="Times New Roman" w:hAnsi="Arial" w:cs="Arial"/>
        </w:rPr>
        <w:t xml:space="preserve"> Стопанска банка АД Скопје со цел на дознака гаранција за јавно наддавање за И.бр.1002/2022, и тоа најдоцна еден ден пред продажбата.</w:t>
      </w:r>
    </w:p>
    <w:p w14:paraId="1E677559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20D87D1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</w:t>
      </w:r>
      <w:r w:rsidR="001043EC">
        <w:rPr>
          <w:rFonts w:ascii="Arial" w:eastAsia="Times New Roman" w:hAnsi="Arial" w:cs="Arial"/>
        </w:rPr>
        <w:t xml:space="preserve"> 15 </w:t>
      </w:r>
      <w:r w:rsidRPr="001043EC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C1FFE0B" w14:textId="77777777" w:rsidR="00616F6B" w:rsidRDefault="00616F6B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Обврската за данокот на промет на недвижноста е на товар на купувачот.</w:t>
      </w:r>
    </w:p>
    <w:p w14:paraId="5261D0C7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Овој заклучок ќе се објави во</w:t>
      </w:r>
      <w:r w:rsidR="001043EC">
        <w:rPr>
          <w:rFonts w:ascii="Arial" w:eastAsia="Times New Roman" w:hAnsi="Arial" w:cs="Arial"/>
        </w:rPr>
        <w:t xml:space="preserve"> дневниот весник Нова Македонија како и </w:t>
      </w:r>
      <w:r w:rsidRPr="001043EC">
        <w:rPr>
          <w:rFonts w:ascii="Arial" w:eastAsia="Times New Roman" w:hAnsi="Arial" w:cs="Arial"/>
          <w:lang w:val="ru-RU"/>
        </w:rPr>
        <w:t xml:space="preserve">електронски на веб страницата на Комората </w:t>
      </w:r>
      <w:r w:rsidRPr="001043EC">
        <w:rPr>
          <w:rFonts w:ascii="Arial" w:eastAsia="Times New Roman" w:hAnsi="Arial" w:cs="Arial"/>
        </w:rPr>
        <w:t>.</w:t>
      </w:r>
    </w:p>
    <w:p w14:paraId="0D93388A" w14:textId="77777777" w:rsidR="00211393" w:rsidRPr="001043EC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1043EC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3ECBC3B" w14:textId="77777777" w:rsidR="00491B15" w:rsidRPr="001043EC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43EC">
        <w:rPr>
          <w:rFonts w:ascii="Arial" w:hAnsi="Arial" w:cs="Arial"/>
        </w:rPr>
        <w:tab/>
      </w:r>
    </w:p>
    <w:p w14:paraId="0BFE02D2" w14:textId="77777777" w:rsidR="00491B15" w:rsidRPr="001043EC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BEEE88" w14:textId="77777777" w:rsidR="00491B15" w:rsidRPr="001043EC" w:rsidRDefault="00491B15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D1B2BE" w14:textId="77777777" w:rsidR="00226087" w:rsidRPr="001043EC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43EC">
        <w:rPr>
          <w:rFonts w:ascii="Arial" w:hAnsi="Arial" w:cs="Arial"/>
        </w:rPr>
        <w:tab/>
        <w:t xml:space="preserve">        </w:t>
      </w:r>
      <w:r w:rsidRPr="001043EC">
        <w:rPr>
          <w:rFonts w:ascii="Arial" w:hAnsi="Arial" w:cs="Arial"/>
        </w:rPr>
        <w:tab/>
        <w:t xml:space="preserve">  </w:t>
      </w:r>
    </w:p>
    <w:p w14:paraId="7CC30CF8" w14:textId="77777777" w:rsidR="00B51157" w:rsidRPr="001043E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1D5804D" w14:textId="77777777" w:rsidR="00B51157" w:rsidRPr="001043E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A7EDB3" w14:textId="77777777" w:rsidR="00823825" w:rsidRPr="001043EC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1043EC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043EC">
        <w:rPr>
          <w:rFonts w:ascii="Arial" w:hAnsi="Arial" w:cs="Arial"/>
        </w:rPr>
        <w:t xml:space="preserve">                  </w:t>
      </w:r>
      <w:r w:rsidRPr="001043EC">
        <w:rPr>
          <w:rFonts w:ascii="Arial" w:hAnsi="Arial" w:cs="Arial"/>
          <w:lang w:val="en-US"/>
        </w:rPr>
        <w:t xml:space="preserve">                           </w:t>
      </w:r>
      <w:r w:rsidRPr="001043EC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823825" w:rsidRPr="001043EC" w14:paraId="375594C1" w14:textId="77777777" w:rsidTr="009851EC">
        <w:trPr>
          <w:trHeight w:val="851"/>
        </w:trPr>
        <w:tc>
          <w:tcPr>
            <w:tcW w:w="4297" w:type="dxa"/>
          </w:tcPr>
          <w:p w14:paraId="0356E32B" w14:textId="77777777" w:rsidR="00823825" w:rsidRPr="001043EC" w:rsidRDefault="001043E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1043EC">
              <w:rPr>
                <w:rFonts w:ascii="Arial" w:hAnsi="Arial" w:cs="Arial"/>
              </w:rPr>
              <w:t>Емилија Павловска</w:t>
            </w:r>
            <w:r w:rsidR="00D03CE8">
              <w:rPr>
                <w:rFonts w:ascii="Arial" w:hAnsi="Arial" w:cs="Arial"/>
              </w:rPr>
              <w:pict w14:anchorId="77DDA6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6938896D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 xml:space="preserve">Д.-на: </w:t>
      </w:r>
      <w:r w:rsidRPr="001043EC">
        <w:rPr>
          <w:rFonts w:ascii="Arial" w:hAnsi="Arial" w:cs="Arial"/>
          <w:sz w:val="20"/>
          <w:szCs w:val="20"/>
        </w:rPr>
        <w:tab/>
        <w:t>доверител</w:t>
      </w:r>
    </w:p>
    <w:p w14:paraId="38FD0838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ab/>
        <w:t>должник</w:t>
      </w:r>
    </w:p>
    <w:p w14:paraId="5E311C37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ab/>
        <w:t xml:space="preserve">Град </w:t>
      </w:r>
      <w:r w:rsidR="001043EC">
        <w:rPr>
          <w:rFonts w:ascii="Arial" w:hAnsi="Arial" w:cs="Arial"/>
          <w:sz w:val="20"/>
          <w:szCs w:val="20"/>
        </w:rPr>
        <w:t>Св.Николе</w:t>
      </w:r>
      <w:r w:rsidRPr="001043EC">
        <w:rPr>
          <w:rFonts w:ascii="Arial" w:hAnsi="Arial" w:cs="Arial"/>
          <w:sz w:val="20"/>
          <w:szCs w:val="20"/>
        </w:rPr>
        <w:t xml:space="preserve"> - Сектор за финансии</w:t>
      </w:r>
      <w:r w:rsidRPr="001043EC">
        <w:rPr>
          <w:rFonts w:ascii="Arial" w:hAnsi="Arial" w:cs="Arial"/>
          <w:sz w:val="20"/>
          <w:szCs w:val="20"/>
        </w:rPr>
        <w:tab/>
      </w:r>
      <w:r w:rsidRPr="001043EC">
        <w:rPr>
          <w:rFonts w:ascii="Arial" w:hAnsi="Arial" w:cs="Arial"/>
          <w:sz w:val="20"/>
          <w:szCs w:val="20"/>
        </w:rPr>
        <w:tab/>
      </w:r>
      <w:r w:rsidRPr="001043EC">
        <w:rPr>
          <w:rFonts w:ascii="Arial" w:hAnsi="Arial" w:cs="Arial"/>
          <w:sz w:val="20"/>
          <w:szCs w:val="20"/>
        </w:rPr>
        <w:tab/>
      </w:r>
    </w:p>
    <w:p w14:paraId="1D145BF3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31183752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090F078E" w14:textId="77777777" w:rsidR="00823825" w:rsidRPr="001043E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1043EC">
        <w:rPr>
          <w:rFonts w:ascii="Arial" w:hAnsi="Arial" w:cs="Arial"/>
          <w:lang w:val="en-US"/>
        </w:rPr>
        <w:br w:type="textWrapping" w:clear="all"/>
      </w:r>
      <w:r w:rsidRPr="001043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20A17FFF" w14:textId="77777777" w:rsidR="00823825" w:rsidRPr="001043EC" w:rsidRDefault="00823825" w:rsidP="00823825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EB80FF5" w14:textId="77777777" w:rsidR="00823825" w:rsidRPr="001043EC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43EC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491B15" w:rsidRPr="001043EC">
        <w:rPr>
          <w:rFonts w:ascii="Arial" w:hAnsi="Arial" w:cs="Arial"/>
          <w:sz w:val="20"/>
          <w:szCs w:val="20"/>
        </w:rPr>
        <w:t xml:space="preserve">заклучок </w:t>
      </w:r>
      <w:r w:rsidRPr="001043EC">
        <w:rPr>
          <w:rFonts w:ascii="Arial" w:hAnsi="Arial" w:cs="Arial"/>
          <w:sz w:val="20"/>
          <w:szCs w:val="20"/>
        </w:rPr>
        <w:t xml:space="preserve">може да се поднесе приговор </w:t>
      </w:r>
      <w:bookmarkStart w:id="29" w:name="OSudPouka"/>
      <w:bookmarkEnd w:id="29"/>
      <w:r w:rsidRPr="001043EC">
        <w:rPr>
          <w:rFonts w:ascii="Arial" w:hAnsi="Arial" w:cs="Arial"/>
          <w:sz w:val="20"/>
          <w:szCs w:val="20"/>
        </w:rPr>
        <w:t>согласно одредбите на член 86 од Законот за извршување.</w:t>
      </w:r>
      <w:r w:rsidRPr="001043EC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1043EC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14:paraId="26491E4B" w14:textId="77777777" w:rsidR="00B51157" w:rsidRPr="001043EC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1043E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8A69" w14:textId="77777777" w:rsidR="00183F36" w:rsidRDefault="00183F36" w:rsidP="001043EC">
      <w:pPr>
        <w:spacing w:after="0" w:line="240" w:lineRule="auto"/>
      </w:pPr>
      <w:r>
        <w:separator/>
      </w:r>
    </w:p>
  </w:endnote>
  <w:endnote w:type="continuationSeparator" w:id="0">
    <w:p w14:paraId="3226F850" w14:textId="77777777" w:rsidR="00183F36" w:rsidRDefault="00183F36" w:rsidP="0010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2DCE" w14:textId="77777777" w:rsidR="001043EC" w:rsidRPr="001043EC" w:rsidRDefault="001043EC" w:rsidP="001043E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16F6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09997" w14:textId="77777777" w:rsidR="00183F36" w:rsidRDefault="00183F36" w:rsidP="001043EC">
      <w:pPr>
        <w:spacing w:after="0" w:line="240" w:lineRule="auto"/>
      </w:pPr>
      <w:r>
        <w:separator/>
      </w:r>
    </w:p>
  </w:footnote>
  <w:footnote w:type="continuationSeparator" w:id="0">
    <w:p w14:paraId="4CF97B2A" w14:textId="77777777" w:rsidR="00183F36" w:rsidRDefault="00183F36" w:rsidP="0010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00D29"/>
    <w:rsid w:val="000A48CC"/>
    <w:rsid w:val="000A4928"/>
    <w:rsid w:val="000D3F8F"/>
    <w:rsid w:val="001043EC"/>
    <w:rsid w:val="00132B66"/>
    <w:rsid w:val="00146298"/>
    <w:rsid w:val="00180BCE"/>
    <w:rsid w:val="00183F36"/>
    <w:rsid w:val="00207BA6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2A27"/>
    <w:rsid w:val="00355680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584A4E"/>
    <w:rsid w:val="0061005D"/>
    <w:rsid w:val="00616F6B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03CE8"/>
    <w:rsid w:val="00D47D14"/>
    <w:rsid w:val="00DA5DC9"/>
    <w:rsid w:val="00DC321E"/>
    <w:rsid w:val="00DF1299"/>
    <w:rsid w:val="00E01FCA"/>
    <w:rsid w:val="00E3104F"/>
    <w:rsid w:val="00E3697C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D033"/>
  <w15:docId w15:val="{5290B849-842C-4162-B6E2-68593461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2025-05-15T12:43:00Z</cp:lastPrinted>
  <dcterms:created xsi:type="dcterms:W3CDTF">2025-05-22T12:13:00Z</dcterms:created>
  <dcterms:modified xsi:type="dcterms:W3CDTF">2025-05-22T12:13:00Z</dcterms:modified>
</cp:coreProperties>
</file>