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509"/>
        <w:gridCol w:w="961"/>
        <w:gridCol w:w="2628"/>
      </w:tblGrid>
      <w:tr w:rsidR="00AC6DF1" w:rsidRPr="001E54CC" w:rsidTr="00651C4D">
        <w:tc>
          <w:tcPr>
            <w:tcW w:w="5478" w:type="dxa"/>
            <w:hideMark/>
          </w:tcPr>
          <w:p w:rsidR="00AC6DF1" w:rsidRPr="001E54CC" w:rsidRDefault="00AC6D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1E54CC">
              <w:rPr>
                <w:rFonts w:ascii="Arial" w:hAnsi="Arial" w:cs="Arial"/>
                <w:b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8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C6DF1" w:rsidRPr="001E54CC" w:rsidTr="00651C4D">
        <w:tc>
          <w:tcPr>
            <w:tcW w:w="5478" w:type="dxa"/>
            <w:hideMark/>
          </w:tcPr>
          <w:p w:rsidR="00AC6DF1" w:rsidRPr="001E54CC" w:rsidRDefault="00AC6D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54CC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09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8" w:type="dxa"/>
            <w:hideMark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C6DF1" w:rsidRPr="001E54CC" w:rsidTr="00651C4D">
        <w:tc>
          <w:tcPr>
            <w:tcW w:w="5478" w:type="dxa"/>
            <w:hideMark/>
          </w:tcPr>
          <w:p w:rsidR="00AC6DF1" w:rsidRPr="001E54CC" w:rsidRDefault="00AC6D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54CC">
              <w:rPr>
                <w:rFonts w:ascii="Arial" w:hAnsi="Arial" w:cs="Arial"/>
                <w:b/>
                <w:sz w:val="20"/>
                <w:szCs w:val="20"/>
                <w:lang w:val="ru-RU"/>
              </w:rPr>
              <w:t>Чедомир Личковски</w:t>
            </w:r>
          </w:p>
        </w:tc>
        <w:tc>
          <w:tcPr>
            <w:tcW w:w="509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8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C6DF1" w:rsidRPr="001E54CC" w:rsidTr="00651C4D">
        <w:tc>
          <w:tcPr>
            <w:tcW w:w="5478" w:type="dxa"/>
            <w:hideMark/>
          </w:tcPr>
          <w:p w:rsidR="00AC6DF1" w:rsidRPr="001E54CC" w:rsidRDefault="00AC6D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54CC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09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8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C6DF1" w:rsidRPr="001E54CC" w:rsidTr="00651C4D">
        <w:tc>
          <w:tcPr>
            <w:tcW w:w="5478" w:type="dxa"/>
            <w:hideMark/>
          </w:tcPr>
          <w:p w:rsidR="00AC6DF1" w:rsidRPr="001E54CC" w:rsidRDefault="00AC6D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54CC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Основните судови Гостивар и</w:t>
            </w:r>
            <w:r w:rsidRPr="001E54C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CC">
              <w:rPr>
                <w:rFonts w:ascii="Arial" w:hAnsi="Arial" w:cs="Arial"/>
                <w:b/>
                <w:sz w:val="20"/>
                <w:szCs w:val="20"/>
              </w:rPr>
              <w:t>Кичево</w:t>
            </w:r>
            <w:proofErr w:type="spellEnd"/>
          </w:p>
        </w:tc>
        <w:tc>
          <w:tcPr>
            <w:tcW w:w="509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8" w:type="dxa"/>
            <w:hideMark/>
          </w:tcPr>
          <w:p w:rsidR="00AC6DF1" w:rsidRPr="001E54CC" w:rsidRDefault="00AC6D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54CC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И.бр.27/16</w:t>
            </w:r>
          </w:p>
        </w:tc>
      </w:tr>
      <w:tr w:rsidR="00B70395" w:rsidRPr="001E54CC" w:rsidTr="00651C4D">
        <w:tc>
          <w:tcPr>
            <w:tcW w:w="5478" w:type="dxa"/>
            <w:hideMark/>
          </w:tcPr>
          <w:p w:rsidR="00B70395" w:rsidRPr="001E54CC" w:rsidRDefault="00B70395" w:rsidP="008204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54CC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ул.Мајор Чеде Филиповски бр.2</w:t>
            </w:r>
          </w:p>
        </w:tc>
        <w:tc>
          <w:tcPr>
            <w:tcW w:w="509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8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70395" w:rsidRPr="001E54CC" w:rsidTr="00651C4D">
        <w:tc>
          <w:tcPr>
            <w:tcW w:w="5478" w:type="dxa"/>
            <w:hideMark/>
          </w:tcPr>
          <w:p w:rsidR="00B70395" w:rsidRPr="001E54CC" w:rsidRDefault="00B70395" w:rsidP="008204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54C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тел.042/221-888 и </w:t>
            </w:r>
            <w:r w:rsidRPr="001E54CC">
              <w:rPr>
                <w:rFonts w:ascii="Arial" w:hAnsi="Arial" w:cs="Arial"/>
                <w:b/>
                <w:sz w:val="20"/>
                <w:szCs w:val="20"/>
              </w:rPr>
              <w:t>078 354 304</w:t>
            </w:r>
          </w:p>
        </w:tc>
        <w:tc>
          <w:tcPr>
            <w:tcW w:w="509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8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70395" w:rsidRPr="001E54CC" w:rsidTr="00651C4D">
        <w:tc>
          <w:tcPr>
            <w:tcW w:w="5478" w:type="dxa"/>
            <w:hideMark/>
          </w:tcPr>
          <w:p w:rsidR="00B70395" w:rsidRPr="001E54CC" w:rsidRDefault="00B7039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8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70395" w:rsidRPr="001E54CC" w:rsidTr="00651C4D">
        <w:tc>
          <w:tcPr>
            <w:tcW w:w="5478" w:type="dxa"/>
            <w:hideMark/>
          </w:tcPr>
          <w:p w:rsidR="00B70395" w:rsidRPr="001E54CC" w:rsidRDefault="00B70395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8" w:type="dxa"/>
          </w:tcPr>
          <w:p w:rsidR="00B70395" w:rsidRPr="001E54CC" w:rsidRDefault="00B7039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C6DF1" w:rsidRDefault="00AC6DF1" w:rsidP="00AC6DF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E54CC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proofErr w:type="spellStart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Чедомир</w:t>
      </w:r>
      <w:proofErr w:type="spellEnd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Личковски</w:t>
      </w:r>
      <w:proofErr w:type="spellEnd"/>
      <w:r w:rsidRPr="001E54CC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Гостивар</w:t>
      </w:r>
      <w:proofErr w:type="spellEnd"/>
      <w:r w:rsidRPr="001E54CC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АД ЕЛЕМ СКОПЈЕ </w:t>
      </w:r>
      <w:proofErr w:type="spellStart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Подружница</w:t>
      </w:r>
      <w:proofErr w:type="spellEnd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 ХЕС </w:t>
      </w:r>
      <w:proofErr w:type="spellStart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Маврово</w:t>
      </w:r>
      <w:proofErr w:type="spellEnd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Гостивар</w:t>
      </w:r>
      <w:proofErr w:type="spellEnd"/>
      <w:r w:rsidRPr="001E54CC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Гостивар</w:t>
      </w:r>
      <w:proofErr w:type="spellEnd"/>
      <w:r w:rsidRPr="001E54CC">
        <w:rPr>
          <w:rFonts w:ascii="Arial" w:hAnsi="Arial" w:cs="Arial"/>
          <w:sz w:val="20"/>
          <w:szCs w:val="20"/>
          <w:lang w:val="mk-MK"/>
        </w:rPr>
        <w:t xml:space="preserve"> </w:t>
      </w:r>
      <w:r w:rsidR="008672B5">
        <w:rPr>
          <w:rFonts w:ascii="Arial" w:hAnsi="Arial" w:cs="Arial"/>
          <w:sz w:val="20"/>
          <w:szCs w:val="20"/>
          <w:lang w:val="mk-MK"/>
        </w:rPr>
        <w:t xml:space="preserve">со 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седиште на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ул.Браќа</w:t>
      </w:r>
      <w:proofErr w:type="spellEnd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Ѓиноски</w:t>
      </w:r>
      <w:proofErr w:type="spellEnd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бр.42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П.4 бр.70/14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24.12.2014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 на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Основен</w:t>
      </w:r>
      <w:proofErr w:type="spellEnd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суд</w:t>
      </w:r>
      <w:proofErr w:type="spellEnd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Гостивар</w:t>
      </w:r>
      <w:proofErr w:type="spellEnd"/>
      <w:r w:rsidRPr="001E54CC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proofErr w:type="spellStart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Мусли</w:t>
      </w:r>
      <w:proofErr w:type="spellEnd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E54CC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Алију</w:t>
      </w:r>
      <w:proofErr w:type="spellEnd"/>
      <w:r w:rsidRPr="001E54CC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Гостивар</w:t>
      </w:r>
      <w:proofErr w:type="spellEnd"/>
      <w:r w:rsidRPr="001E54CC">
        <w:rPr>
          <w:rFonts w:ascii="Arial" w:hAnsi="Arial" w:cs="Arial"/>
          <w:sz w:val="20"/>
          <w:szCs w:val="20"/>
          <w:lang w:val="mk-MK"/>
        </w:rPr>
        <w:t xml:space="preserve"> со  живеалиште</w:t>
      </w:r>
      <w:r w:rsidR="008672B5">
        <w:rPr>
          <w:rFonts w:ascii="Arial" w:hAnsi="Arial" w:cs="Arial"/>
          <w:sz w:val="20"/>
          <w:szCs w:val="20"/>
          <w:lang w:val="mk-MK"/>
        </w:rPr>
        <w:t xml:space="preserve"> во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с.Мало</w:t>
      </w:r>
      <w:proofErr w:type="spellEnd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Турчане</w:t>
      </w:r>
      <w:proofErr w:type="spellEnd"/>
      <w:r w:rsidRPr="001E54CC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13.781.488,00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ден</w:t>
      </w:r>
      <w:proofErr w:type="spellEnd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.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Pr="001E54CC">
        <w:rPr>
          <w:rFonts w:ascii="Arial" w:hAnsi="Arial" w:cs="Arial"/>
          <w:sz w:val="20"/>
          <w:szCs w:val="20"/>
          <w:lang w:val="en-US"/>
        </w:rPr>
        <w:t>27.03.2024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BE0032" w:rsidRPr="001E54CC" w:rsidRDefault="00BE0032" w:rsidP="00AC6DF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AC6DF1" w:rsidRPr="001E54CC" w:rsidRDefault="00AC6DF1" w:rsidP="00AC6DF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E54CC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AC6DF1" w:rsidRPr="001E54CC" w:rsidRDefault="00AC6DF1" w:rsidP="00AC6DF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E54CC">
        <w:rPr>
          <w:rFonts w:ascii="Arial" w:hAnsi="Arial" w:cs="Arial"/>
          <w:b/>
          <w:sz w:val="20"/>
          <w:szCs w:val="20"/>
          <w:lang w:val="mk-MK"/>
        </w:rPr>
        <w:t>ЗА УСНА ЈАВНА ПРОДАЖБА</w:t>
      </w:r>
    </w:p>
    <w:p w:rsidR="00AC6DF1" w:rsidRPr="001E54CC" w:rsidRDefault="00AC6DF1" w:rsidP="00AC6DF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E54CC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1E54CC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1E54CC">
        <w:rPr>
          <w:rFonts w:ascii="Arial" w:hAnsi="Arial" w:cs="Arial"/>
          <w:b/>
          <w:sz w:val="20"/>
          <w:szCs w:val="20"/>
          <w:lang w:val="mk-MK"/>
        </w:rPr>
        <w:t>)</w:t>
      </w:r>
    </w:p>
    <w:p w:rsidR="00AC6DF1" w:rsidRPr="001E54CC" w:rsidRDefault="00AC6DF1" w:rsidP="00AC6DF1">
      <w:pPr>
        <w:rPr>
          <w:rFonts w:ascii="Arial" w:hAnsi="Arial" w:cs="Arial"/>
          <w:sz w:val="20"/>
          <w:szCs w:val="20"/>
          <w:lang w:val="mk-MK"/>
        </w:rPr>
      </w:pPr>
    </w:p>
    <w:p w:rsidR="00AC6DF1" w:rsidRPr="001E54CC" w:rsidRDefault="00AC6DF1" w:rsidP="00BE0032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E54CC">
        <w:rPr>
          <w:rFonts w:ascii="Arial" w:hAnsi="Arial" w:cs="Arial"/>
          <w:sz w:val="20"/>
          <w:szCs w:val="20"/>
          <w:lang w:val="mk-MK"/>
        </w:rPr>
        <w:t>СЕ ОПРЕДЕЛУВА ПРВА продажба со усно јавно наддавање на недвижноста означена како:</w:t>
      </w:r>
      <w:r w:rsidR="00B70395" w:rsidRPr="001E54CC">
        <w:rPr>
          <w:rFonts w:ascii="Arial" w:hAnsi="Arial" w:cs="Arial"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ЛИСТ Б</w:t>
      </w:r>
      <w:r w:rsidR="00B70395" w:rsidRPr="001E54CC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- КП.бр.123 ДЕЛ 1, викано</w:t>
      </w:r>
      <w:r w:rsidRPr="001E54C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место /улица „ЛАГОВЕ„ , кат.култура 31500, површина од 1137 м</w:t>
      </w:r>
      <w:r w:rsidRPr="001E54CC">
        <w:rPr>
          <w:rFonts w:ascii="Arial" w:hAnsi="Arial" w:cs="Arial"/>
          <w:bCs/>
          <w:sz w:val="20"/>
          <w:szCs w:val="20"/>
          <w:vertAlign w:val="superscript"/>
          <w:lang w:val="mk-MK"/>
        </w:rPr>
        <w:t xml:space="preserve">2,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право преземено при конверзија на податоците од стариот ел.систем 831</w:t>
      </w:r>
      <w:r w:rsidRPr="001E54CC">
        <w:rPr>
          <w:rFonts w:ascii="Arial" w:hAnsi="Arial" w:cs="Arial"/>
          <w:bCs/>
          <w:sz w:val="20"/>
          <w:szCs w:val="20"/>
          <w:vertAlign w:val="superscript"/>
          <w:lang w:val="mk-MK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en-US"/>
        </w:rPr>
        <w:t>;</w:t>
      </w:r>
      <w:r w:rsidRPr="001E54CC">
        <w:rPr>
          <w:rFonts w:ascii="Arial" w:hAnsi="Arial" w:cs="Arial"/>
          <w:bCs/>
          <w:sz w:val="20"/>
          <w:szCs w:val="20"/>
          <w:lang w:val="mk-MK"/>
        </w:rPr>
        <w:t xml:space="preserve"> -</w:t>
      </w:r>
      <w:r w:rsidR="00B70395" w:rsidRPr="001E54CC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КП.бр.</w:t>
      </w:r>
      <w:r w:rsidRPr="001E54CC">
        <w:rPr>
          <w:rFonts w:ascii="Arial" w:hAnsi="Arial" w:cs="Arial"/>
          <w:bCs/>
          <w:sz w:val="20"/>
          <w:szCs w:val="20"/>
          <w:lang w:val="en-US"/>
        </w:rPr>
        <w:t>123</w:t>
      </w:r>
      <w:r w:rsidRPr="001E54CC">
        <w:rPr>
          <w:rFonts w:ascii="Arial" w:hAnsi="Arial" w:cs="Arial"/>
          <w:bCs/>
          <w:sz w:val="20"/>
          <w:szCs w:val="20"/>
          <w:lang w:val="mk-MK"/>
        </w:rPr>
        <w:t xml:space="preserve"> ДЕЛ 2, викано</w:t>
      </w:r>
      <w:r w:rsidRPr="001E54C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 xml:space="preserve">место /улица „ЛАГОВЕ„ , кат.култура </w:t>
      </w:r>
      <w:r w:rsidRPr="001E54CC">
        <w:rPr>
          <w:rFonts w:ascii="Arial" w:hAnsi="Arial" w:cs="Arial"/>
          <w:bCs/>
          <w:sz w:val="20"/>
          <w:szCs w:val="20"/>
          <w:lang w:val="en-US"/>
        </w:rPr>
        <w:t>11000</w:t>
      </w:r>
      <w:r w:rsidRPr="001E54CC">
        <w:rPr>
          <w:rFonts w:ascii="Arial" w:hAnsi="Arial" w:cs="Arial"/>
          <w:bCs/>
          <w:sz w:val="20"/>
          <w:szCs w:val="20"/>
          <w:lang w:val="mk-MK"/>
        </w:rPr>
        <w:t>,</w:t>
      </w:r>
      <w:r w:rsidRPr="001E54C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класа 4, површина од 794 м</w:t>
      </w:r>
      <w:r w:rsidRPr="001E54CC">
        <w:rPr>
          <w:rFonts w:ascii="Arial" w:hAnsi="Arial" w:cs="Arial"/>
          <w:bCs/>
          <w:sz w:val="20"/>
          <w:szCs w:val="20"/>
          <w:vertAlign w:val="superscript"/>
          <w:lang w:val="mk-MK"/>
        </w:rPr>
        <w:t xml:space="preserve">2, 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право преземено при конверзија на податоците од стариот ел.систем 831</w:t>
      </w:r>
      <w:r w:rsidRPr="001E54CC">
        <w:rPr>
          <w:rFonts w:ascii="Arial" w:hAnsi="Arial" w:cs="Arial"/>
          <w:bCs/>
          <w:sz w:val="20"/>
          <w:szCs w:val="20"/>
          <w:lang w:val="en-US"/>
        </w:rPr>
        <w:t>;</w:t>
      </w:r>
      <w:r w:rsidR="00B70395" w:rsidRPr="001E54CC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- КП.бр.</w:t>
      </w:r>
      <w:r w:rsidRPr="001E54CC">
        <w:rPr>
          <w:rFonts w:ascii="Arial" w:hAnsi="Arial" w:cs="Arial"/>
          <w:bCs/>
          <w:sz w:val="20"/>
          <w:szCs w:val="20"/>
          <w:lang w:val="en-US"/>
        </w:rPr>
        <w:t>123</w:t>
      </w:r>
      <w:r w:rsidRPr="001E54CC">
        <w:rPr>
          <w:rFonts w:ascii="Arial" w:hAnsi="Arial" w:cs="Arial"/>
          <w:bCs/>
          <w:sz w:val="20"/>
          <w:szCs w:val="20"/>
          <w:lang w:val="mk-MK"/>
        </w:rPr>
        <w:t xml:space="preserve"> ДЕЛ 5, викано</w:t>
      </w:r>
      <w:r w:rsidRPr="001E54C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место /улица „ ЛАГОВЕ „ , кат.култура зз, н класа 5, површина од 1110 м</w:t>
      </w:r>
      <w:r w:rsidRPr="001E54CC">
        <w:rPr>
          <w:rFonts w:ascii="Arial" w:hAnsi="Arial" w:cs="Arial"/>
          <w:bCs/>
          <w:sz w:val="20"/>
          <w:szCs w:val="20"/>
          <w:vertAlign w:val="superscript"/>
          <w:lang w:val="mk-MK"/>
        </w:rPr>
        <w:t xml:space="preserve">2, 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СОПСТВЕНОСТ</w:t>
      </w:r>
      <w:r w:rsidRPr="001E54CC">
        <w:rPr>
          <w:rFonts w:ascii="Arial" w:hAnsi="Arial" w:cs="Arial"/>
          <w:bCs/>
          <w:sz w:val="20"/>
          <w:szCs w:val="20"/>
          <w:lang w:val="en-US"/>
        </w:rPr>
        <w:t>;</w:t>
      </w:r>
      <w:r w:rsidR="00B70395" w:rsidRPr="001E54CC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- КП.бр.</w:t>
      </w:r>
      <w:r w:rsidRPr="001E54CC">
        <w:rPr>
          <w:rFonts w:ascii="Arial" w:hAnsi="Arial" w:cs="Arial"/>
          <w:bCs/>
          <w:sz w:val="20"/>
          <w:szCs w:val="20"/>
          <w:lang w:val="en-US"/>
        </w:rPr>
        <w:t>123</w:t>
      </w:r>
      <w:r w:rsidRPr="001E54CC">
        <w:rPr>
          <w:rFonts w:ascii="Arial" w:hAnsi="Arial" w:cs="Arial"/>
          <w:bCs/>
          <w:sz w:val="20"/>
          <w:szCs w:val="20"/>
          <w:lang w:val="mk-MK"/>
        </w:rPr>
        <w:t xml:space="preserve"> ДЕЛ 5, викано</w:t>
      </w:r>
      <w:r w:rsidRPr="001E54C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 xml:space="preserve">место /улица „ ЛАГОВЕ „ , кат.култура зз, н класа </w:t>
      </w:r>
      <w:r w:rsidRPr="001E54CC">
        <w:rPr>
          <w:rFonts w:ascii="Arial" w:hAnsi="Arial" w:cs="Arial"/>
          <w:bCs/>
          <w:sz w:val="20"/>
          <w:szCs w:val="20"/>
          <w:lang w:val="en-US"/>
        </w:rPr>
        <w:t>6</w:t>
      </w:r>
      <w:r w:rsidRPr="001E54CC">
        <w:rPr>
          <w:rFonts w:ascii="Arial" w:hAnsi="Arial" w:cs="Arial"/>
          <w:bCs/>
          <w:sz w:val="20"/>
          <w:szCs w:val="20"/>
          <w:lang w:val="mk-MK"/>
        </w:rPr>
        <w:t xml:space="preserve">, површина од </w:t>
      </w:r>
      <w:r w:rsidRPr="001E54CC">
        <w:rPr>
          <w:rFonts w:ascii="Arial" w:hAnsi="Arial" w:cs="Arial"/>
          <w:bCs/>
          <w:sz w:val="20"/>
          <w:szCs w:val="20"/>
          <w:lang w:val="en-US"/>
        </w:rPr>
        <w:t>1243</w:t>
      </w:r>
      <w:r w:rsidRPr="001E54CC">
        <w:rPr>
          <w:rFonts w:ascii="Arial" w:hAnsi="Arial" w:cs="Arial"/>
          <w:bCs/>
          <w:sz w:val="20"/>
          <w:szCs w:val="20"/>
          <w:lang w:val="mk-MK"/>
        </w:rPr>
        <w:t xml:space="preserve"> м</w:t>
      </w:r>
      <w:r w:rsidRPr="001E54CC">
        <w:rPr>
          <w:rFonts w:ascii="Arial" w:hAnsi="Arial" w:cs="Arial"/>
          <w:bCs/>
          <w:sz w:val="20"/>
          <w:szCs w:val="20"/>
          <w:vertAlign w:val="superscript"/>
          <w:lang w:val="mk-MK"/>
        </w:rPr>
        <w:t xml:space="preserve">2, 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СОПСТВЕНОСТ</w:t>
      </w:r>
      <w:r w:rsidRPr="001E54CC">
        <w:rPr>
          <w:rFonts w:ascii="Arial" w:hAnsi="Arial" w:cs="Arial"/>
          <w:bCs/>
          <w:sz w:val="20"/>
          <w:szCs w:val="20"/>
          <w:lang w:val="en-US"/>
        </w:rPr>
        <w:t>;</w:t>
      </w:r>
      <w:r w:rsidR="00B70395" w:rsidRPr="001E54CC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- КП.бр.</w:t>
      </w:r>
      <w:r w:rsidRPr="001E54CC">
        <w:rPr>
          <w:rFonts w:ascii="Arial" w:hAnsi="Arial" w:cs="Arial"/>
          <w:bCs/>
          <w:sz w:val="20"/>
          <w:szCs w:val="20"/>
          <w:lang w:val="en-US"/>
        </w:rPr>
        <w:t>358</w:t>
      </w:r>
      <w:r w:rsidRPr="001E54CC">
        <w:rPr>
          <w:rFonts w:ascii="Arial" w:hAnsi="Arial" w:cs="Arial"/>
          <w:bCs/>
          <w:sz w:val="20"/>
          <w:szCs w:val="20"/>
          <w:lang w:val="mk-MK"/>
        </w:rPr>
        <w:t xml:space="preserve"> ДЕЛ 2, викано</w:t>
      </w:r>
      <w:r w:rsidRPr="001E54C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место /улица „ ОРВИШТЕ „ , кат.култура 11000, класа 6, површина од 1489 м</w:t>
      </w:r>
      <w:r w:rsidRPr="001E54CC">
        <w:rPr>
          <w:rFonts w:ascii="Arial" w:hAnsi="Arial" w:cs="Arial"/>
          <w:bCs/>
          <w:sz w:val="20"/>
          <w:szCs w:val="20"/>
          <w:vertAlign w:val="superscript"/>
          <w:lang w:val="mk-MK"/>
        </w:rPr>
        <w:t xml:space="preserve">2,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право преземено при конверзија на податоците од стариот ел.систем 831</w:t>
      </w:r>
      <w:r w:rsidRPr="001E54CC">
        <w:rPr>
          <w:rFonts w:ascii="Arial" w:hAnsi="Arial" w:cs="Arial"/>
          <w:bCs/>
          <w:sz w:val="20"/>
          <w:szCs w:val="20"/>
          <w:lang w:val="en-US"/>
        </w:rPr>
        <w:t>;</w:t>
      </w:r>
      <w:r w:rsidRPr="001E54CC">
        <w:rPr>
          <w:rFonts w:ascii="Arial" w:hAnsi="Arial" w:cs="Arial"/>
          <w:bCs/>
          <w:sz w:val="20"/>
          <w:szCs w:val="20"/>
          <w:lang w:val="mk-MK"/>
        </w:rPr>
        <w:t>- КП.бр.94 ДЕЛ 3, викано</w:t>
      </w:r>
      <w:r w:rsidRPr="001E54C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место /улица „ ЈУРИЈА „ , кат.култура 11000, класа 4, површина од 1329 м</w:t>
      </w:r>
      <w:r w:rsidRPr="001E54CC">
        <w:rPr>
          <w:rFonts w:ascii="Arial" w:hAnsi="Arial" w:cs="Arial"/>
          <w:bCs/>
          <w:sz w:val="20"/>
          <w:szCs w:val="20"/>
          <w:vertAlign w:val="superscript"/>
          <w:lang w:val="mk-MK"/>
        </w:rPr>
        <w:t xml:space="preserve">2, </w:t>
      </w:r>
      <w:r w:rsidRPr="001E54CC">
        <w:rPr>
          <w:rFonts w:ascii="Arial" w:hAnsi="Arial" w:cs="Arial"/>
          <w:bCs/>
          <w:sz w:val="20"/>
          <w:szCs w:val="20"/>
          <w:lang w:val="mk-MK"/>
        </w:rPr>
        <w:t>право преземено при конверзија на податоците од стариот ел.систем 831, запишана во имотен лист бр. 181 при АКН Гостивар со следните ознаки: КО Мало Турчане која се наоѓа во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 сопственост на третото лице Теки Алији од село Мало Турчане, Гостивар.</w:t>
      </w:r>
      <w:r w:rsidR="00BE0032">
        <w:rPr>
          <w:rFonts w:ascii="Arial" w:hAnsi="Arial" w:cs="Arial"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Pr="001E54CC">
        <w:rPr>
          <w:rFonts w:ascii="Arial" w:hAnsi="Arial" w:cs="Arial"/>
          <w:sz w:val="20"/>
          <w:szCs w:val="20"/>
          <w:lang w:val="ru-RU"/>
        </w:rPr>
        <w:t xml:space="preserve">15.04.2024 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Pr="001E54CC">
        <w:rPr>
          <w:rFonts w:ascii="Arial" w:hAnsi="Arial" w:cs="Arial"/>
          <w:sz w:val="20"/>
          <w:szCs w:val="20"/>
          <w:lang w:val="ru-RU"/>
        </w:rPr>
        <w:t>10</w:t>
      </w:r>
      <w:r w:rsidRPr="001E54CC">
        <w:rPr>
          <w:rFonts w:ascii="Arial" w:hAnsi="Arial" w:cs="Arial"/>
          <w:sz w:val="20"/>
          <w:szCs w:val="20"/>
          <w:lang w:val="en-US"/>
        </w:rPr>
        <w:t>: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00 часот во просториите на </w:t>
      </w:r>
      <w:r w:rsidRPr="001E54CC">
        <w:rPr>
          <w:rFonts w:ascii="Arial" w:hAnsi="Arial" w:cs="Arial"/>
          <w:sz w:val="20"/>
          <w:szCs w:val="20"/>
          <w:lang w:val="ru-RU"/>
        </w:rPr>
        <w:t>Извршителот Чедомир Личковски на ул.</w:t>
      </w:r>
      <w:r w:rsidRPr="001E54CC">
        <w:rPr>
          <w:rFonts w:ascii="Arial" w:hAnsi="Arial" w:cs="Arial"/>
          <w:sz w:val="20"/>
          <w:szCs w:val="20"/>
          <w:lang w:val="en-US"/>
        </w:rPr>
        <w:t>”</w:t>
      </w:r>
      <w:r w:rsidRPr="001E54CC">
        <w:rPr>
          <w:rFonts w:ascii="Arial" w:hAnsi="Arial" w:cs="Arial"/>
          <w:sz w:val="20"/>
          <w:szCs w:val="20"/>
          <w:lang w:val="ru-RU"/>
        </w:rPr>
        <w:t>Мајор Чеде Филипоски</w:t>
      </w:r>
      <w:r w:rsidRPr="001E54CC">
        <w:rPr>
          <w:rFonts w:ascii="Arial" w:hAnsi="Arial" w:cs="Arial"/>
          <w:sz w:val="20"/>
          <w:szCs w:val="20"/>
          <w:lang w:val="en-US"/>
        </w:rPr>
        <w:t>”</w:t>
      </w:r>
      <w:r w:rsidRPr="001E54CC">
        <w:rPr>
          <w:rFonts w:ascii="Arial" w:hAnsi="Arial" w:cs="Arial"/>
          <w:sz w:val="20"/>
          <w:szCs w:val="20"/>
          <w:lang w:val="ru-RU"/>
        </w:rPr>
        <w:t xml:space="preserve"> бр.2, Гостивар</w:t>
      </w:r>
      <w:r w:rsidRPr="001E54CC">
        <w:rPr>
          <w:rFonts w:ascii="Arial" w:hAnsi="Arial" w:cs="Arial"/>
          <w:sz w:val="20"/>
          <w:szCs w:val="20"/>
          <w:lang w:val="mk-MK"/>
        </w:rPr>
        <w:t>. Почетната вредност на недвижноста, утврдена со заклучок</w:t>
      </w:r>
      <w:r w:rsidRPr="001E54CC">
        <w:rPr>
          <w:rFonts w:ascii="Arial" w:hAnsi="Arial" w:cs="Arial"/>
          <w:sz w:val="20"/>
          <w:szCs w:val="20"/>
          <w:lang w:val="en-US"/>
        </w:rPr>
        <w:t xml:space="preserve"> 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за утврдување на вредност на недвижност (член 177 од ЗИ) на извршителот </w:t>
      </w:r>
      <w:r w:rsidRPr="001E54CC">
        <w:rPr>
          <w:rFonts w:ascii="Arial" w:hAnsi="Arial" w:cs="Arial"/>
          <w:sz w:val="20"/>
          <w:szCs w:val="20"/>
          <w:lang w:val="ru-RU"/>
        </w:rPr>
        <w:t>Чедомир Личковски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, И.бр.27/16 од 27.04.2022 година изнесува </w:t>
      </w:r>
      <w:r w:rsidRPr="001E54CC">
        <w:rPr>
          <w:rFonts w:ascii="Arial" w:hAnsi="Arial" w:cs="Arial"/>
          <w:sz w:val="20"/>
          <w:szCs w:val="20"/>
          <w:lang w:val="ru-RU"/>
        </w:rPr>
        <w:t xml:space="preserve"> 2.309.100,00 </w:t>
      </w:r>
      <w:r w:rsidRPr="001E54CC">
        <w:rPr>
          <w:rFonts w:ascii="Arial" w:hAnsi="Arial" w:cs="Arial"/>
          <w:sz w:val="20"/>
          <w:szCs w:val="20"/>
          <w:lang w:val="mk-MK"/>
        </w:rPr>
        <w:t>денари, под која недвижноста не може да се продаде на првото јавно наддавање.</w:t>
      </w:r>
      <w:r w:rsidR="00B70395" w:rsidRPr="001E54CC">
        <w:rPr>
          <w:rFonts w:ascii="Arial" w:hAnsi="Arial" w:cs="Arial"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sz w:val="20"/>
          <w:szCs w:val="20"/>
          <w:lang w:val="mk-MK"/>
        </w:rPr>
        <w:t>Недвижноста е оптоварена со следните товари и службености</w:t>
      </w:r>
      <w:r w:rsidRPr="001E54CC">
        <w:rPr>
          <w:rFonts w:ascii="Arial" w:hAnsi="Arial" w:cs="Arial"/>
          <w:sz w:val="20"/>
          <w:szCs w:val="20"/>
          <w:lang w:val="en-US"/>
        </w:rPr>
        <w:t>:-</w:t>
      </w:r>
      <w:r w:rsidRPr="001E54CC">
        <w:rPr>
          <w:rFonts w:ascii="Arial" w:hAnsi="Arial" w:cs="Arial"/>
          <w:sz w:val="20"/>
          <w:szCs w:val="20"/>
          <w:lang w:val="mk-MK"/>
        </w:rPr>
        <w:t>Налог за извршување врз недвижност (член 166 од ЗИ), И.бр.27/16 од 01.03.2022 година од Извршител Чедомир Личковски од Гостивар.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E54CC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B70395" w:rsidRPr="001E54CC">
        <w:rPr>
          <w:rFonts w:ascii="Arial" w:hAnsi="Arial" w:cs="Arial"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sz w:val="20"/>
          <w:szCs w:val="20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1E54C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210065594760251</w:t>
      </w:r>
      <w:r w:rsidRPr="001E54CC">
        <w:rPr>
          <w:rFonts w:ascii="Arial" w:hAnsi="Arial" w:cs="Arial"/>
          <w:sz w:val="20"/>
          <w:szCs w:val="20"/>
          <w:lang w:val="en-US"/>
        </w:rPr>
        <w:t xml:space="preserve"> 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НЛБ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Банка</w:t>
      </w:r>
      <w:proofErr w:type="spellEnd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1E54CC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Pr="001E54CC">
        <w:rPr>
          <w:rFonts w:ascii="Arial" w:eastAsiaTheme="minorEastAsia" w:hAnsi="Arial" w:cs="Arial"/>
          <w:color w:val="000000"/>
          <w:sz w:val="20"/>
          <w:szCs w:val="20"/>
          <w:lang w:val="en-US"/>
        </w:rPr>
        <w:t>5007010503623</w:t>
      </w:r>
      <w:r w:rsidRPr="001E54C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B70395" w:rsidRPr="001E54CC">
        <w:rPr>
          <w:rFonts w:ascii="Arial" w:hAnsi="Arial" w:cs="Arial"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B70395" w:rsidRPr="001E54CC">
        <w:rPr>
          <w:rFonts w:ascii="Arial" w:hAnsi="Arial" w:cs="Arial"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E54CC">
        <w:rPr>
          <w:rFonts w:ascii="Arial" w:hAnsi="Arial" w:cs="Arial"/>
          <w:sz w:val="20"/>
          <w:szCs w:val="20"/>
          <w:lang w:val="ru-RU"/>
        </w:rPr>
        <w:t xml:space="preserve">15 </w:t>
      </w:r>
      <w:r w:rsidRPr="001E54CC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B70395" w:rsidRPr="001E54CC">
        <w:rPr>
          <w:rFonts w:ascii="Arial" w:hAnsi="Arial" w:cs="Arial"/>
          <w:sz w:val="20"/>
          <w:szCs w:val="20"/>
          <w:lang w:val="mk-MK"/>
        </w:rPr>
        <w:t xml:space="preserve"> </w:t>
      </w:r>
      <w:r w:rsidRPr="001E54CC">
        <w:rPr>
          <w:rFonts w:ascii="Arial" w:hAnsi="Arial" w:cs="Arial"/>
          <w:sz w:val="20"/>
          <w:szCs w:val="20"/>
          <w:lang w:val="mk-MK"/>
        </w:rPr>
        <w:t xml:space="preserve">Овој заклучок ќе се објави во следните средства за јавно информирање </w:t>
      </w:r>
      <w:r w:rsidRPr="001E54CC">
        <w:rPr>
          <w:rFonts w:ascii="Arial" w:hAnsi="Arial" w:cs="Arial"/>
          <w:sz w:val="20"/>
          <w:szCs w:val="20"/>
          <w:lang w:val="ru-RU"/>
        </w:rPr>
        <w:t>Нова Македонија и електронск</w:t>
      </w:r>
      <w:r w:rsidR="00B70395" w:rsidRPr="001E54CC">
        <w:rPr>
          <w:rFonts w:ascii="Arial" w:hAnsi="Arial" w:cs="Arial"/>
          <w:sz w:val="20"/>
          <w:szCs w:val="20"/>
          <w:lang w:val="ru-RU"/>
        </w:rPr>
        <w:t xml:space="preserve">и на веб страницата на Комората. </w:t>
      </w:r>
      <w:r w:rsidRPr="001E54CC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6DF1" w:rsidRPr="001E54CC" w:rsidRDefault="00AC6DF1" w:rsidP="00AC6DF1">
      <w:pPr>
        <w:jc w:val="both"/>
        <w:rPr>
          <w:rFonts w:ascii="Arial" w:hAnsi="Arial" w:cs="Arial"/>
          <w:sz w:val="20"/>
          <w:szCs w:val="20"/>
          <w:lang w:val="mk-MK"/>
        </w:rPr>
      </w:pPr>
      <w:r w:rsidRPr="001E54CC">
        <w:rPr>
          <w:sz w:val="20"/>
          <w:szCs w:val="20"/>
          <w:lang w:val="mk-MK"/>
        </w:rPr>
        <w:tab/>
      </w:r>
      <w:r w:rsidRPr="001E54CC">
        <w:rPr>
          <w:sz w:val="20"/>
          <w:szCs w:val="20"/>
          <w:lang w:val="mk-MK"/>
        </w:rPr>
        <w:tab/>
      </w:r>
      <w:r w:rsidRPr="001E54CC">
        <w:rPr>
          <w:sz w:val="20"/>
          <w:szCs w:val="20"/>
          <w:lang w:val="mk-MK"/>
        </w:rPr>
        <w:tab/>
      </w:r>
      <w:r w:rsidRPr="001E54CC">
        <w:rPr>
          <w:sz w:val="20"/>
          <w:szCs w:val="20"/>
          <w:lang w:val="mk-MK"/>
        </w:rPr>
        <w:tab/>
      </w:r>
      <w:r w:rsidRPr="001E54CC">
        <w:rPr>
          <w:sz w:val="20"/>
          <w:szCs w:val="20"/>
          <w:lang w:val="mk-MK"/>
        </w:rPr>
        <w:tab/>
      </w:r>
      <w:r w:rsidRPr="001E54CC">
        <w:rPr>
          <w:sz w:val="20"/>
          <w:szCs w:val="20"/>
          <w:lang w:val="mk-MK"/>
        </w:rPr>
        <w:tab/>
      </w:r>
      <w:r w:rsidRPr="001E54CC">
        <w:rPr>
          <w:sz w:val="20"/>
          <w:szCs w:val="20"/>
          <w:lang w:val="mk-MK"/>
        </w:rPr>
        <w:tab/>
      </w:r>
      <w:r w:rsidRPr="001E54CC">
        <w:rPr>
          <w:sz w:val="20"/>
          <w:szCs w:val="20"/>
          <w:lang w:val="mk-MK"/>
        </w:rPr>
        <w:tab/>
        <w:t xml:space="preserve"> </w:t>
      </w:r>
      <w:r w:rsidR="00B70395" w:rsidRPr="001E54CC">
        <w:rPr>
          <w:rFonts w:asciiTheme="minorHAnsi" w:hAnsiTheme="minorHAnsi"/>
          <w:sz w:val="20"/>
          <w:szCs w:val="20"/>
          <w:lang w:val="mk-MK"/>
        </w:rPr>
        <w:t xml:space="preserve">  </w:t>
      </w:r>
      <w:r w:rsidRPr="001E54CC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848"/>
      </w:tblGrid>
      <w:tr w:rsidR="00AC6DF1" w:rsidRPr="001E54CC" w:rsidTr="00AC6DF1">
        <w:tc>
          <w:tcPr>
            <w:tcW w:w="5377" w:type="dxa"/>
          </w:tcPr>
          <w:p w:rsidR="00AC6DF1" w:rsidRPr="001E54CC" w:rsidRDefault="00AC6DF1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1E54CC" w:rsidRPr="001E54CC" w:rsidRDefault="001E54CC" w:rsidP="001E54CC">
            <w:pPr>
              <w:rPr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            </w:t>
            </w:r>
            <w:r w:rsidR="00AC6DF1" w:rsidRPr="001E54CC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Чедомир Личковски</w:t>
            </w:r>
          </w:p>
        </w:tc>
      </w:tr>
    </w:tbl>
    <w:p w:rsidR="00AC6DF1" w:rsidRPr="001E54CC" w:rsidRDefault="00AC6DF1" w:rsidP="00AC6DF1">
      <w:pPr>
        <w:jc w:val="both"/>
        <w:rPr>
          <w:sz w:val="20"/>
          <w:szCs w:val="20"/>
          <w:lang w:val="mk-MK"/>
        </w:rPr>
      </w:pPr>
      <w:r w:rsidRPr="001E54CC">
        <w:rPr>
          <w:sz w:val="20"/>
          <w:szCs w:val="20"/>
          <w:lang w:val="mk-MK"/>
        </w:rPr>
        <w:tab/>
      </w:r>
      <w:r w:rsidRPr="001E54CC">
        <w:rPr>
          <w:sz w:val="20"/>
          <w:szCs w:val="20"/>
          <w:lang w:val="mk-MK"/>
        </w:rPr>
        <w:tab/>
      </w:r>
      <w:r w:rsidRPr="001E54CC">
        <w:rPr>
          <w:sz w:val="20"/>
          <w:szCs w:val="20"/>
          <w:lang w:val="mk-MK"/>
        </w:rPr>
        <w:tab/>
      </w:r>
      <w:r w:rsidRPr="001E54CC">
        <w:rPr>
          <w:sz w:val="20"/>
          <w:szCs w:val="20"/>
          <w:lang w:val="mk-MK"/>
        </w:rPr>
        <w:tab/>
      </w:r>
      <w:r w:rsidRPr="001E54CC">
        <w:rPr>
          <w:sz w:val="20"/>
          <w:szCs w:val="20"/>
          <w:lang w:val="mk-MK"/>
        </w:rPr>
        <w:tab/>
        <w:t xml:space="preserve">        </w:t>
      </w:r>
    </w:p>
    <w:sectPr w:rsidR="00AC6DF1" w:rsidRPr="001E54CC" w:rsidSect="00BE0032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7F" w:rsidRDefault="00A41B7F" w:rsidP="00B70395">
      <w:r>
        <w:separator/>
      </w:r>
    </w:p>
  </w:endnote>
  <w:endnote w:type="continuationSeparator" w:id="0">
    <w:p w:rsidR="00A41B7F" w:rsidRDefault="00A41B7F" w:rsidP="00B7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7F" w:rsidRDefault="00A41B7F" w:rsidP="00B70395">
      <w:r>
        <w:separator/>
      </w:r>
    </w:p>
  </w:footnote>
  <w:footnote w:type="continuationSeparator" w:id="0">
    <w:p w:rsidR="00A41B7F" w:rsidRDefault="00A41B7F" w:rsidP="00B70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F1"/>
    <w:rsid w:val="001241C1"/>
    <w:rsid w:val="0017449C"/>
    <w:rsid w:val="001E54CC"/>
    <w:rsid w:val="0038014A"/>
    <w:rsid w:val="0048684C"/>
    <w:rsid w:val="00651C4D"/>
    <w:rsid w:val="00833F3D"/>
    <w:rsid w:val="008672B5"/>
    <w:rsid w:val="00A41B7F"/>
    <w:rsid w:val="00AC6DF1"/>
    <w:rsid w:val="00B70395"/>
    <w:rsid w:val="00BE0032"/>
    <w:rsid w:val="00D1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F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6DF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C6DF1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F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70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39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70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395"/>
    <w:rPr>
      <w:rFonts w:ascii="MAC C Times" w:eastAsia="Times New Roman" w:hAnsi="MAC C Times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F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6DF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C6DF1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F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70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39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70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39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Комора на извршители</cp:lastModifiedBy>
  <cp:revision>2</cp:revision>
  <dcterms:created xsi:type="dcterms:W3CDTF">2024-03-29T09:22:00Z</dcterms:created>
  <dcterms:modified xsi:type="dcterms:W3CDTF">2024-03-29T09:22:00Z</dcterms:modified>
</cp:coreProperties>
</file>