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B487B" w:rsidTr="005B487B">
        <w:tc>
          <w:tcPr>
            <w:tcW w:w="6008" w:type="dxa"/>
            <w:hideMark/>
          </w:tcPr>
          <w:p w:rsidR="005B487B" w:rsidRDefault="00DE21A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И.бр.2495/19</w:t>
            </w: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B487B" w:rsidTr="005B487B">
        <w:tc>
          <w:tcPr>
            <w:tcW w:w="6008" w:type="dxa"/>
            <w:hideMark/>
          </w:tcPr>
          <w:p w:rsidR="005B487B" w:rsidRDefault="005B487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B487B" w:rsidRDefault="005B487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1"/>
          <w:szCs w:val="21"/>
          <w:lang w:eastAsia="en-GB"/>
        </w:rPr>
        <w:t>Снежана Андреевска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1"/>
          <w:szCs w:val="21"/>
          <w:lang w:eastAsia="en-GB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>
        <w:rPr>
          <w:rFonts w:ascii="Arial" w:hAnsi="Arial" w:cs="Arial"/>
          <w:bCs/>
          <w:color w:val="000000"/>
          <w:sz w:val="21"/>
          <w:szCs w:val="21"/>
          <w:lang w:eastAsia="en-GB"/>
        </w:rPr>
        <w:t>ПроКредит Банка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4030003482066</w:t>
      </w:r>
      <w:r>
        <w:rPr>
          <w:rFonts w:ascii="Arial" w:hAnsi="Arial" w:cs="Arial"/>
          <w:color w:val="000000"/>
          <w:sz w:val="21"/>
          <w:szCs w:val="21"/>
          <w:lang w:val="mk-MK" w:eastAsia="en-GB"/>
        </w:rPr>
        <w:t>, ЕМБС 5774136</w:t>
      </w:r>
      <w:r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ул.Манапо број 7</w:t>
      </w:r>
      <w:r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акт- Договор за обезбедување на парично побарување со воспоставување на заложно право- Хипотека од прв ред над недвижност станови со својсвто на извршна исправа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ОДУ број 614/2012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08.11.2012</w:t>
      </w:r>
      <w:r>
        <w:rPr>
          <w:rFonts w:ascii="Arial" w:hAnsi="Arial" w:cs="Arial"/>
          <w:color w:val="000000"/>
          <w:sz w:val="21"/>
          <w:szCs w:val="21"/>
          <w:lang w:val="mk-MK" w:eastAsia="en-GB"/>
        </w:rPr>
        <w:t xml:space="preserve"> год.</w:t>
      </w:r>
      <w:r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Нотар Насер Зибери</w:t>
      </w:r>
      <w:r>
        <w:rPr>
          <w:rFonts w:ascii="Arial" w:hAnsi="Arial" w:cs="Arial"/>
          <w:color w:val="000000"/>
          <w:sz w:val="21"/>
          <w:szCs w:val="21"/>
          <w:lang w:val="mk-MK" w:eastAsia="en-GB"/>
        </w:rPr>
        <w:t xml:space="preserve"> од Скопје</w:t>
      </w:r>
      <w:r>
        <w:rPr>
          <w:rFonts w:ascii="Arial" w:hAnsi="Arial" w:cs="Arial"/>
          <w:sz w:val="21"/>
          <w:szCs w:val="21"/>
          <w:lang w:val="mk-MK"/>
        </w:rPr>
        <w:t>, Нотарски акт- Договор за обезбедување на парично побарување со воспоставување на заложно право</w:t>
      </w:r>
      <w:r w:rsidR="006E687B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- Хипоека од прв и втор ред над недвижен имот со својство на извршна исправа ОДУ бр.818/2013 од 16.12.2013 год. на Нотар Насер Зибери од Скопје и Нотарски акт</w:t>
      </w:r>
      <w:r w:rsidR="006E687B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- Договор за обезбедување на парично побарување со воспоставување на заложно право- Хипотека од прв и втор ред над недвижен имот со својство на извршна исправа ОДУ бр.663/2015 од 18.11.2015 год. на Нотар Насер Зибери од Скопје против должникот/заложен должник </w:t>
      </w:r>
      <w:r>
        <w:rPr>
          <w:rFonts w:ascii="Arial" w:hAnsi="Arial" w:cs="Arial"/>
          <w:bCs/>
          <w:color w:val="000000"/>
          <w:sz w:val="21"/>
          <w:szCs w:val="21"/>
          <w:lang w:eastAsia="en-GB"/>
        </w:rPr>
        <w:t>Друштво за производство услуги и трговија на големо и мало ПРИНЦЕ ЕНТЕРПРАЈС ДООЕЛ експорт-импорт 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4030003472435</w:t>
      </w:r>
      <w:r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ул.Ферид Мурати бр.30, Чаир</w:t>
      </w:r>
      <w:r>
        <w:rPr>
          <w:rFonts w:ascii="Arial" w:hAnsi="Arial" w:cs="Arial"/>
          <w:color w:val="000000"/>
          <w:sz w:val="21"/>
          <w:szCs w:val="21"/>
          <w:lang w:val="mk-MK" w:eastAsia="en-GB"/>
        </w:rPr>
        <w:t xml:space="preserve"> и заложниот должник Самет Абдулаи од Скопје со живеалиште на ул.Дижонска 9 бр.9</w:t>
      </w:r>
      <w:r>
        <w:rPr>
          <w:rFonts w:ascii="Arial" w:hAnsi="Arial" w:cs="Arial"/>
          <w:sz w:val="21"/>
          <w:szCs w:val="21"/>
          <w:lang w:val="mk-MK"/>
        </w:rPr>
        <w:t xml:space="preserve">, за спроведување на извршување, на ден </w:t>
      </w:r>
      <w:r>
        <w:rPr>
          <w:rFonts w:ascii="Arial" w:hAnsi="Arial" w:cs="Arial"/>
          <w:sz w:val="21"/>
          <w:szCs w:val="21"/>
        </w:rPr>
        <w:t>20.10.2022</w:t>
      </w:r>
      <w:r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6E687B" w:rsidRDefault="006E6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5B487B" w:rsidRDefault="005B487B" w:rsidP="005B487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5B487B" w:rsidRDefault="005B487B" w:rsidP="005B487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ЗА ВТОРА УСНА ЈАВНА ПРОДАЖБА</w:t>
      </w:r>
    </w:p>
    <w:p w:rsidR="005B487B" w:rsidRDefault="005B487B" w:rsidP="005B487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>
        <w:rPr>
          <w:rFonts w:ascii="Arial" w:hAnsi="Arial" w:cs="Arial"/>
          <w:b/>
          <w:sz w:val="21"/>
          <w:szCs w:val="21"/>
          <w:lang w:val="mk-MK"/>
        </w:rPr>
        <w:t>)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ВТОРА продажба со усно јавно наддавање на недвижностите означени како:</w:t>
      </w:r>
    </w:p>
    <w:p w:rsidR="005B487B" w:rsidRPr="005B487B" w:rsidRDefault="005B487B" w:rsidP="005B487B">
      <w:pPr>
        <w:ind w:left="66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5B487B">
        <w:rPr>
          <w:rFonts w:ascii="Arial" w:hAnsi="Arial" w:cs="Arial"/>
          <w:bCs/>
          <w:sz w:val="21"/>
          <w:szCs w:val="21"/>
          <w:lang w:val="en-US"/>
        </w:rPr>
        <w:t>I</w:t>
      </w:r>
      <w:r w:rsidRPr="005B487B"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5B487B" w:rsidRPr="005B487B" w:rsidRDefault="005B487B" w:rsidP="005B487B">
      <w:pPr>
        <w:ind w:left="66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5B487B">
        <w:rPr>
          <w:rFonts w:ascii="Arial" w:hAnsi="Arial" w:cs="Arial"/>
          <w:bCs/>
          <w:sz w:val="21"/>
          <w:szCs w:val="21"/>
          <w:lang w:val="mk-MK"/>
        </w:rPr>
        <w:t>-КП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2, кат 1, бр.1, намена на посебен/заеднички дел од зграда ПП, внатрешна површина од 13 м2;</w:t>
      </w:r>
    </w:p>
    <w:p w:rsidR="005B487B" w:rsidRDefault="005B487B" w:rsidP="005B487B">
      <w:pPr>
        <w:jc w:val="both"/>
        <w:rPr>
          <w:rFonts w:ascii="Arial" w:hAnsi="Arial" w:cs="Arial"/>
          <w:sz w:val="21"/>
          <w:szCs w:val="21"/>
          <w:lang w:val="mk-MK"/>
        </w:rPr>
      </w:pPr>
      <w:r w:rsidRPr="005B487B">
        <w:rPr>
          <w:rFonts w:ascii="Arial" w:hAnsi="Arial" w:cs="Arial"/>
          <w:bCs/>
          <w:sz w:val="21"/>
          <w:szCs w:val="21"/>
          <w:lang w:val="mk-MK"/>
        </w:rPr>
        <w:t xml:space="preserve">-КП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2, кат 1, бр.1, намена на посебен/заеднички дел од зграда СТ, внатрешна површина од 99 м2, </w:t>
      </w:r>
      <w:r w:rsidRPr="005B487B">
        <w:rPr>
          <w:rFonts w:ascii="Arial" w:hAnsi="Arial" w:cs="Arial"/>
          <w:sz w:val="21"/>
          <w:szCs w:val="21"/>
          <w:lang w:val="mk-MK"/>
        </w:rPr>
        <w:t xml:space="preserve">со почетна цена за второто усно јавно наддавање во износ од </w:t>
      </w:r>
      <w:r>
        <w:rPr>
          <w:rFonts w:ascii="Arial" w:hAnsi="Arial" w:cs="Arial"/>
          <w:sz w:val="21"/>
          <w:szCs w:val="21"/>
          <w:lang w:val="en-US"/>
        </w:rPr>
        <w:t>55.000</w:t>
      </w:r>
      <w:r w:rsidRPr="005B487B">
        <w:rPr>
          <w:rFonts w:ascii="Arial" w:hAnsi="Arial" w:cs="Arial"/>
          <w:sz w:val="21"/>
          <w:szCs w:val="21"/>
          <w:lang w:val="mk-MK"/>
        </w:rPr>
        <w:t xml:space="preserve"> ЕУР во денарска противвреднст по среден курс на НБРСМ на денот на продажбата</w:t>
      </w:r>
      <w:r w:rsidRPr="005B487B">
        <w:rPr>
          <w:rFonts w:ascii="Arial" w:hAnsi="Arial" w:cs="Arial"/>
          <w:sz w:val="21"/>
          <w:szCs w:val="21"/>
          <w:lang w:val="en-US"/>
        </w:rPr>
        <w:t xml:space="preserve">, </w:t>
      </w:r>
      <w:r w:rsidRPr="005B487B">
        <w:rPr>
          <w:rFonts w:ascii="Arial" w:hAnsi="Arial" w:cs="Arial"/>
          <w:sz w:val="21"/>
          <w:szCs w:val="21"/>
          <w:lang w:val="mk-MK"/>
        </w:rPr>
        <w:t xml:space="preserve">под која недвижноста не може да се продаде на </w:t>
      </w:r>
      <w:r w:rsidR="00962F82">
        <w:rPr>
          <w:rFonts w:ascii="Arial" w:hAnsi="Arial" w:cs="Arial"/>
          <w:sz w:val="21"/>
          <w:szCs w:val="21"/>
          <w:lang w:val="mk-MK"/>
        </w:rPr>
        <w:t>второто јавно наддавање.</w:t>
      </w:r>
    </w:p>
    <w:p w:rsidR="00962F82" w:rsidRPr="005B487B" w:rsidRDefault="00962F82" w:rsidP="005B487B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B487B" w:rsidRDefault="005B487B" w:rsidP="005B487B">
      <w:pPr>
        <w:ind w:left="66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en-US"/>
        </w:rPr>
        <w:t>II</w:t>
      </w:r>
      <w:r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5B487B" w:rsidRDefault="005B487B" w:rsidP="005B487B">
      <w:pPr>
        <w:ind w:left="66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 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2, кат ПТК, бр.33, намена на посебен/заеднички дел од зграда ПП, внатрешна површина од 13 м2;</w:t>
      </w:r>
    </w:p>
    <w:p w:rsidR="00962F82" w:rsidRDefault="005B487B" w:rsidP="00962F82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 -КП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2, кат ПТК, бр.33, намена на посебен/заеднички дел од зграда СТ, внатрешна површина од 100 м2,</w:t>
      </w:r>
      <w:r w:rsidR="00962F82" w:rsidRPr="00962F82">
        <w:rPr>
          <w:rFonts w:ascii="Arial" w:hAnsi="Arial" w:cs="Arial"/>
          <w:sz w:val="21"/>
          <w:szCs w:val="21"/>
          <w:lang w:val="mk-MK"/>
        </w:rPr>
        <w:t xml:space="preserve"> 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со почетна цена за второто усно јавно наддавање во износ од </w:t>
      </w:r>
      <w:r w:rsidR="00962F82">
        <w:rPr>
          <w:rFonts w:ascii="Arial" w:hAnsi="Arial" w:cs="Arial"/>
          <w:sz w:val="21"/>
          <w:szCs w:val="21"/>
          <w:lang w:val="en-US"/>
        </w:rPr>
        <w:t>5</w:t>
      </w:r>
      <w:r w:rsidR="00962F82">
        <w:rPr>
          <w:rFonts w:ascii="Arial" w:hAnsi="Arial" w:cs="Arial"/>
          <w:sz w:val="21"/>
          <w:szCs w:val="21"/>
          <w:lang w:val="mk-MK"/>
        </w:rPr>
        <w:t>2</w:t>
      </w:r>
      <w:r w:rsidR="00962F82">
        <w:rPr>
          <w:rFonts w:ascii="Arial" w:hAnsi="Arial" w:cs="Arial"/>
          <w:sz w:val="21"/>
          <w:szCs w:val="21"/>
          <w:lang w:val="en-US"/>
        </w:rPr>
        <w:t>.000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 ЕУР  во денарска противвреднст по среден курс на НБРСМ на денот на продажбата</w:t>
      </w:r>
      <w:r w:rsidR="00962F82" w:rsidRPr="005B487B">
        <w:rPr>
          <w:rFonts w:ascii="Arial" w:hAnsi="Arial" w:cs="Arial"/>
          <w:sz w:val="21"/>
          <w:szCs w:val="21"/>
          <w:lang w:val="en-US"/>
        </w:rPr>
        <w:t xml:space="preserve">, 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под која недвижноста не може да се продаде на </w:t>
      </w:r>
      <w:r w:rsidR="00962F82">
        <w:rPr>
          <w:rFonts w:ascii="Arial" w:hAnsi="Arial" w:cs="Arial"/>
          <w:sz w:val="21"/>
          <w:szCs w:val="21"/>
          <w:lang w:val="mk-MK"/>
        </w:rPr>
        <w:t>второто јавно наддавање.</w:t>
      </w:r>
    </w:p>
    <w:p w:rsidR="00962F82" w:rsidRPr="005B487B" w:rsidRDefault="00962F82" w:rsidP="00962F82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B487B" w:rsidRDefault="005B487B" w:rsidP="00962F82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en-US"/>
        </w:rPr>
        <w:t>III</w:t>
      </w:r>
      <w:r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5B487B" w:rsidRDefault="005B487B" w:rsidP="005B487B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</w:t>
      </w:r>
      <w:r>
        <w:rPr>
          <w:rFonts w:ascii="Arial" w:hAnsi="Arial" w:cs="Arial"/>
          <w:bCs/>
          <w:color w:val="00B050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>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3, кат ПТК, бр.35, намена на посебен/заеднички дел од зграда ПП, внатрешна површина од 7 м2;</w:t>
      </w:r>
    </w:p>
    <w:p w:rsidR="00962F82" w:rsidRDefault="005B487B" w:rsidP="00962F82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 -КП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3, кат ПТК, бр.35, намена на посебен/заеднички дел од зграда СТ, внатрешна површина од 98 м2, 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со почетна цена за второто усно јавно наддавање во износ од </w:t>
      </w:r>
      <w:r w:rsidR="00962F82">
        <w:rPr>
          <w:rFonts w:ascii="Arial" w:hAnsi="Arial" w:cs="Arial"/>
          <w:sz w:val="21"/>
          <w:szCs w:val="21"/>
          <w:lang w:val="en-US"/>
        </w:rPr>
        <w:t>5</w:t>
      </w:r>
      <w:r w:rsidR="00962F82">
        <w:rPr>
          <w:rFonts w:ascii="Arial" w:hAnsi="Arial" w:cs="Arial"/>
          <w:sz w:val="21"/>
          <w:szCs w:val="21"/>
          <w:lang w:val="mk-MK"/>
        </w:rPr>
        <w:t>0</w:t>
      </w:r>
      <w:r w:rsidR="00962F82">
        <w:rPr>
          <w:rFonts w:ascii="Arial" w:hAnsi="Arial" w:cs="Arial"/>
          <w:sz w:val="21"/>
          <w:szCs w:val="21"/>
          <w:lang w:val="en-US"/>
        </w:rPr>
        <w:t>.000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 ЕУР во денарска противвреднст по среден курс на НБРСМ на денот на продажбата</w:t>
      </w:r>
      <w:r w:rsidR="00962F82" w:rsidRPr="005B487B">
        <w:rPr>
          <w:rFonts w:ascii="Arial" w:hAnsi="Arial" w:cs="Arial"/>
          <w:sz w:val="21"/>
          <w:szCs w:val="21"/>
          <w:lang w:val="en-US"/>
        </w:rPr>
        <w:t xml:space="preserve">, 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под која недвижноста не може да се продаде на </w:t>
      </w:r>
      <w:r w:rsidR="00962F82">
        <w:rPr>
          <w:rFonts w:ascii="Arial" w:hAnsi="Arial" w:cs="Arial"/>
          <w:sz w:val="21"/>
          <w:szCs w:val="21"/>
          <w:lang w:val="mk-MK"/>
        </w:rPr>
        <w:t>второто јавно наддавање.</w:t>
      </w:r>
    </w:p>
    <w:p w:rsidR="00962F82" w:rsidRDefault="00962F82" w:rsidP="00962F82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B487B" w:rsidRDefault="005B487B" w:rsidP="00962F82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en-US"/>
        </w:rPr>
        <w:lastRenderedPageBreak/>
        <w:t>IV</w:t>
      </w:r>
      <w:r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5B487B" w:rsidRDefault="005B487B" w:rsidP="005B487B">
      <w:pPr>
        <w:ind w:left="66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</w:t>
      </w:r>
      <w:r>
        <w:rPr>
          <w:rFonts w:ascii="Arial" w:hAnsi="Arial" w:cs="Arial"/>
          <w:bCs/>
          <w:color w:val="E36C0A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>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4, кат ПТК, бр.32, намена на посебен/заеднички дел од зграда ПП, внатрешна површина од 16 м2;</w:t>
      </w:r>
    </w:p>
    <w:p w:rsidR="00962F82" w:rsidRPr="005B487B" w:rsidRDefault="005B487B" w:rsidP="00962F82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- КП бр.1616/1, адреса (улица и куќен број на зграда) Лазар Трповски бр.88, бр.на зграда/друг објект 2, намена на згр.преземена при конверзија на податоците од стариот ел. систем А2, влез 4, кат ПТК, бр.32, намена на посебен/заеднички дел од зграда СТ, внатрешна површина од 81 м2, 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со почетна цена за второто усно јавно наддавање во износ од </w:t>
      </w:r>
      <w:r w:rsidR="00962F82">
        <w:rPr>
          <w:rFonts w:ascii="Arial" w:hAnsi="Arial" w:cs="Arial"/>
          <w:sz w:val="21"/>
          <w:szCs w:val="21"/>
          <w:lang w:val="mk-MK"/>
        </w:rPr>
        <w:t>45</w:t>
      </w:r>
      <w:r w:rsidR="00962F82">
        <w:rPr>
          <w:rFonts w:ascii="Arial" w:hAnsi="Arial" w:cs="Arial"/>
          <w:sz w:val="21"/>
          <w:szCs w:val="21"/>
          <w:lang w:val="en-US"/>
        </w:rPr>
        <w:t>.000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 ЕУР  во денарска противвреднст по среден курс на НБРСМ на денот на продажбата</w:t>
      </w:r>
      <w:r w:rsidR="00962F82" w:rsidRPr="005B487B">
        <w:rPr>
          <w:rFonts w:ascii="Arial" w:hAnsi="Arial" w:cs="Arial"/>
          <w:sz w:val="21"/>
          <w:szCs w:val="21"/>
          <w:lang w:val="en-US"/>
        </w:rPr>
        <w:t xml:space="preserve">, 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под која недвижноста не може да се продаде на </w:t>
      </w:r>
      <w:r w:rsidR="00962F82">
        <w:rPr>
          <w:rFonts w:ascii="Arial" w:hAnsi="Arial" w:cs="Arial"/>
          <w:sz w:val="21"/>
          <w:szCs w:val="21"/>
          <w:lang w:val="mk-MK"/>
        </w:rPr>
        <w:t>второто</w:t>
      </w:r>
      <w:r w:rsidR="00962F82" w:rsidRPr="005B487B">
        <w:rPr>
          <w:rFonts w:ascii="Arial" w:hAnsi="Arial" w:cs="Arial"/>
          <w:sz w:val="21"/>
          <w:szCs w:val="21"/>
          <w:lang w:val="mk-MK"/>
        </w:rPr>
        <w:t xml:space="preserve"> јавно наддавање,</w:t>
      </w:r>
    </w:p>
    <w:p w:rsidR="005B487B" w:rsidRDefault="005B487B" w:rsidP="005B487B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mk-MK"/>
        </w:rPr>
        <w:t>запишани во Имотен лист бр.94923 за КО Чаир</w:t>
      </w:r>
      <w:r>
        <w:rPr>
          <w:rFonts w:ascii="Arial" w:hAnsi="Arial" w:cs="Arial"/>
          <w:bCs/>
          <w:sz w:val="21"/>
          <w:szCs w:val="21"/>
          <w:lang w:val="en-US"/>
        </w:rPr>
        <w:t xml:space="preserve">, </w:t>
      </w:r>
      <w:r>
        <w:rPr>
          <w:rFonts w:ascii="Arial" w:hAnsi="Arial" w:cs="Arial"/>
          <w:bCs/>
          <w:sz w:val="21"/>
          <w:szCs w:val="21"/>
          <w:lang w:val="mk-MK"/>
        </w:rPr>
        <w:t>како сопственост на</w:t>
      </w:r>
      <w:r>
        <w:rPr>
          <w:rFonts w:ascii="Arial" w:hAnsi="Arial" w:cs="Arial"/>
          <w:color w:val="000000"/>
          <w:sz w:val="21"/>
          <w:szCs w:val="21"/>
          <w:lang w:val="mk-MK" w:eastAsia="en-GB"/>
        </w:rPr>
        <w:t xml:space="preserve"> заложниот должник Самет Абдулаи од Скопје, </w:t>
      </w:r>
      <w:r>
        <w:rPr>
          <w:rFonts w:ascii="Arial" w:hAnsi="Arial" w:cs="Arial"/>
          <w:bCs/>
          <w:sz w:val="21"/>
          <w:szCs w:val="21"/>
          <w:lang w:val="mk-MK"/>
        </w:rPr>
        <w:t>со сите припадоци и прирастоци, доградби и надградби</w:t>
      </w:r>
      <w:r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5B487B" w:rsidRDefault="005B487B" w:rsidP="005B487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 w:rsidR="00962F82">
        <w:rPr>
          <w:rFonts w:ascii="Arial" w:hAnsi="Arial" w:cs="Arial"/>
          <w:sz w:val="21"/>
          <w:szCs w:val="21"/>
          <w:lang w:val="mk-MK"/>
        </w:rPr>
        <w:t>08.11.2022</w:t>
      </w:r>
      <w:r>
        <w:rPr>
          <w:rFonts w:ascii="Arial" w:hAnsi="Arial" w:cs="Arial"/>
          <w:sz w:val="21"/>
          <w:szCs w:val="21"/>
          <w:lang w:val="mk-MK"/>
        </w:rPr>
        <w:t xml:space="preserve"> година во 1</w:t>
      </w:r>
      <w:r w:rsidR="00962F82">
        <w:rPr>
          <w:rFonts w:ascii="Arial" w:hAnsi="Arial" w:cs="Arial"/>
          <w:sz w:val="21"/>
          <w:szCs w:val="21"/>
          <w:lang w:val="mk-MK"/>
        </w:rPr>
        <w:t>0</w:t>
      </w:r>
      <w:r>
        <w:rPr>
          <w:rFonts w:ascii="Arial" w:hAnsi="Arial" w:cs="Arial"/>
          <w:sz w:val="21"/>
          <w:szCs w:val="21"/>
          <w:lang w:val="mk-MK"/>
        </w:rPr>
        <w:t xml:space="preserve">:00 часот во просториите на </w:t>
      </w:r>
      <w:r>
        <w:rPr>
          <w:rFonts w:ascii="Arial" w:hAnsi="Arial" w:cs="Arial"/>
          <w:sz w:val="21"/>
          <w:szCs w:val="21"/>
          <w:lang w:val="ru-RU"/>
        </w:rPr>
        <w:t>Извршител Снежана Андреевска од Скопје, на бул.Кузман Јосифовски Питу бр.28-5/11</w:t>
      </w:r>
      <w:r>
        <w:rPr>
          <w:rFonts w:ascii="Arial" w:hAnsi="Arial" w:cs="Arial"/>
          <w:sz w:val="21"/>
          <w:szCs w:val="21"/>
          <w:lang w:val="mk-MK"/>
        </w:rPr>
        <w:t xml:space="preserve">. </w:t>
      </w:r>
    </w:p>
    <w:p w:rsidR="00962F82" w:rsidRPr="00962F82" w:rsidRDefault="005B487B" w:rsidP="00962F8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Почетната вредност на недвижност</w:t>
      </w:r>
      <w:r w:rsidR="00962F82">
        <w:rPr>
          <w:rFonts w:ascii="Arial" w:hAnsi="Arial" w:cs="Arial"/>
          <w:sz w:val="21"/>
          <w:szCs w:val="21"/>
          <w:lang w:val="mk-MK"/>
        </w:rPr>
        <w:t>ите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="00962F82">
        <w:rPr>
          <w:rFonts w:ascii="Arial" w:hAnsi="Arial" w:cs="Arial"/>
          <w:sz w:val="21"/>
          <w:szCs w:val="21"/>
          <w:lang w:val="mk-MK"/>
        </w:rPr>
        <w:t xml:space="preserve">е </w:t>
      </w:r>
      <w:r>
        <w:rPr>
          <w:rFonts w:ascii="Arial" w:hAnsi="Arial" w:cs="Arial"/>
          <w:sz w:val="21"/>
          <w:szCs w:val="21"/>
          <w:lang w:val="mk-MK"/>
        </w:rPr>
        <w:t>утврден</w:t>
      </w:r>
      <w:r w:rsidR="00962F82">
        <w:rPr>
          <w:rFonts w:ascii="Arial" w:hAnsi="Arial" w:cs="Arial"/>
          <w:sz w:val="21"/>
          <w:szCs w:val="21"/>
          <w:lang w:val="mk-MK"/>
        </w:rPr>
        <w:t>а</w:t>
      </w:r>
      <w:r>
        <w:rPr>
          <w:rFonts w:ascii="Arial" w:hAnsi="Arial" w:cs="Arial"/>
          <w:sz w:val="21"/>
          <w:szCs w:val="21"/>
          <w:lang w:val="mk-MK"/>
        </w:rPr>
        <w:t xml:space="preserve"> со заклучок на извршителот </w:t>
      </w:r>
      <w:r>
        <w:rPr>
          <w:rFonts w:ascii="Arial" w:hAnsi="Arial" w:cs="Arial"/>
          <w:sz w:val="21"/>
          <w:szCs w:val="21"/>
          <w:lang w:val="ru-RU"/>
        </w:rPr>
        <w:t>И.бр.</w:t>
      </w:r>
      <w:r>
        <w:rPr>
          <w:rFonts w:ascii="Arial" w:hAnsi="Arial" w:cs="Arial"/>
          <w:sz w:val="21"/>
          <w:szCs w:val="21"/>
          <w:lang w:val="en-US"/>
        </w:rPr>
        <w:t>2495</w:t>
      </w:r>
      <w:r>
        <w:rPr>
          <w:rFonts w:ascii="Arial" w:hAnsi="Arial" w:cs="Arial"/>
          <w:sz w:val="21"/>
          <w:szCs w:val="21"/>
          <w:lang w:val="ru-RU"/>
        </w:rPr>
        <w:t>/</w:t>
      </w:r>
      <w:r>
        <w:rPr>
          <w:rFonts w:ascii="Arial" w:hAnsi="Arial" w:cs="Arial"/>
          <w:sz w:val="21"/>
          <w:szCs w:val="21"/>
          <w:lang w:val="en-US"/>
        </w:rPr>
        <w:t>19</w:t>
      </w:r>
      <w:r>
        <w:rPr>
          <w:rFonts w:ascii="Arial" w:hAnsi="Arial" w:cs="Arial"/>
          <w:sz w:val="21"/>
          <w:szCs w:val="21"/>
          <w:lang w:val="ru-RU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2</w:t>
      </w:r>
      <w:r>
        <w:rPr>
          <w:rFonts w:ascii="Arial" w:hAnsi="Arial" w:cs="Arial"/>
          <w:sz w:val="21"/>
          <w:szCs w:val="21"/>
          <w:lang w:val="mk-MK"/>
        </w:rPr>
        <w:t>1.0</w:t>
      </w:r>
      <w:r>
        <w:rPr>
          <w:rFonts w:ascii="Arial" w:hAnsi="Arial" w:cs="Arial"/>
          <w:sz w:val="21"/>
          <w:szCs w:val="21"/>
          <w:lang w:val="en-US"/>
        </w:rPr>
        <w:t>9</w:t>
      </w:r>
      <w:r>
        <w:rPr>
          <w:rFonts w:ascii="Arial" w:hAnsi="Arial" w:cs="Arial"/>
          <w:sz w:val="21"/>
          <w:szCs w:val="21"/>
          <w:lang w:val="mk-MK"/>
        </w:rPr>
        <w:t>.202</w:t>
      </w:r>
      <w:r>
        <w:rPr>
          <w:rFonts w:ascii="Arial" w:hAnsi="Arial" w:cs="Arial"/>
          <w:sz w:val="21"/>
          <w:szCs w:val="21"/>
          <w:lang w:val="en-US"/>
        </w:rPr>
        <w:t>2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год.</w:t>
      </w:r>
      <w:r>
        <w:rPr>
          <w:rFonts w:ascii="Arial" w:hAnsi="Arial" w:cs="Arial"/>
          <w:sz w:val="21"/>
          <w:szCs w:val="21"/>
          <w:lang w:val="mk-MK"/>
        </w:rPr>
        <w:t xml:space="preserve">, </w:t>
      </w:r>
      <w:r w:rsidR="00962F82" w:rsidRPr="00962F82">
        <w:rPr>
          <w:rFonts w:ascii="Arial" w:hAnsi="Arial" w:cs="Arial"/>
          <w:sz w:val="21"/>
          <w:szCs w:val="21"/>
          <w:lang w:val="mk-MK"/>
        </w:rPr>
        <w:t>а согласно чл.185 став 2 од ЗИ, намалена по предлог на доверителот, под која недвижностите не можат да се продадат на второто јавно наддавање.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Недвижноста е оптоварена со следните товари и службености: заложно право – хипотека во корист на Про Кредит Банка АД Скопје и Налози за извршување.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210065586400209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НЛБ Банка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5032010500238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информирање: </w:t>
      </w:r>
      <w:r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 на извршители на РСМ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B487B" w:rsidRDefault="005B487B" w:rsidP="005B487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B487B" w:rsidRDefault="005B487B" w:rsidP="005B487B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  <w:t xml:space="preserve">    </w:t>
      </w:r>
      <w:r>
        <w:rPr>
          <w:rFonts w:ascii="Calibri" w:hAnsi="Calibri"/>
          <w:sz w:val="21"/>
          <w:szCs w:val="21"/>
          <w:lang w:val="mk-MK"/>
        </w:rPr>
        <w:t xml:space="preserve">            </w:t>
      </w:r>
      <w:r w:rsidR="00962F82">
        <w:rPr>
          <w:rFonts w:ascii="Calibri" w:hAnsi="Calibri"/>
          <w:sz w:val="21"/>
          <w:szCs w:val="21"/>
          <w:lang w:val="mk-MK"/>
        </w:rPr>
        <w:t xml:space="preserve">           </w:t>
      </w:r>
      <w:r>
        <w:rPr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5B487B" w:rsidTr="005B487B">
        <w:tc>
          <w:tcPr>
            <w:tcW w:w="5377" w:type="dxa"/>
          </w:tcPr>
          <w:p w:rsidR="005B487B" w:rsidRDefault="005B487B">
            <w:pPr>
              <w:jc w:val="both"/>
              <w:rPr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5B487B" w:rsidRDefault="005B487B">
            <w:pPr>
              <w:tabs>
                <w:tab w:val="left" w:pos="1335"/>
                <w:tab w:val="center" w:pos="2509"/>
              </w:tabs>
              <w:rPr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ab/>
              <w:t xml:space="preserve">     </w:t>
            </w:r>
            <w:r w:rsidR="00993BAD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mk-MK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ab/>
              <w:t>Снежана Андреевска</w:t>
            </w:r>
          </w:p>
        </w:tc>
      </w:tr>
    </w:tbl>
    <w:p w:rsidR="005B487B" w:rsidRDefault="005B487B" w:rsidP="005B487B">
      <w:pPr>
        <w:jc w:val="both"/>
        <w:rPr>
          <w:rFonts w:ascii="Calibri" w:hAnsi="Calibri"/>
          <w:sz w:val="21"/>
          <w:szCs w:val="21"/>
          <w:lang w:val="mk-MK"/>
        </w:rPr>
      </w:pPr>
      <w:r>
        <w:rPr>
          <w:sz w:val="21"/>
          <w:szCs w:val="21"/>
          <w:lang w:val="mk-MK"/>
        </w:rPr>
        <w:t xml:space="preserve">         </w:t>
      </w:r>
    </w:p>
    <w:p w:rsidR="005B487B" w:rsidRDefault="005B487B" w:rsidP="005B487B">
      <w:pPr>
        <w:jc w:val="both"/>
        <w:rPr>
          <w:sz w:val="21"/>
          <w:szCs w:val="21"/>
          <w:lang w:val="mk-MK"/>
        </w:rPr>
      </w:pPr>
      <w:r>
        <w:rPr>
          <w:sz w:val="21"/>
          <w:szCs w:val="21"/>
          <w:lang w:val="mk-MK"/>
        </w:rPr>
        <w:t xml:space="preserve">   </w:t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  <w:t xml:space="preserve">        </w:t>
      </w:r>
    </w:p>
    <w:p w:rsidR="005B487B" w:rsidRDefault="00962F82" w:rsidP="005B487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Д.-на:  </w:t>
      </w:r>
      <w:r w:rsidR="005B487B">
        <w:rPr>
          <w:rFonts w:ascii="Arial" w:hAnsi="Arial" w:cs="Arial"/>
          <w:sz w:val="21"/>
          <w:szCs w:val="21"/>
          <w:lang w:val="mk-MK"/>
        </w:rPr>
        <w:t>- должник</w:t>
      </w:r>
    </w:p>
    <w:p w:rsidR="005B487B" w:rsidRDefault="00962F82" w:rsidP="005B487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</w:t>
      </w:r>
      <w:r w:rsidR="005B487B">
        <w:rPr>
          <w:rFonts w:ascii="Arial" w:hAnsi="Arial" w:cs="Arial"/>
          <w:sz w:val="21"/>
          <w:szCs w:val="21"/>
          <w:lang w:val="mk-MK"/>
        </w:rPr>
        <w:t>- заложен должник</w:t>
      </w:r>
    </w:p>
    <w:p w:rsidR="005B487B" w:rsidRDefault="00962F82" w:rsidP="005B487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</w:t>
      </w:r>
      <w:r w:rsidR="005B487B">
        <w:rPr>
          <w:rFonts w:ascii="Arial" w:hAnsi="Arial" w:cs="Arial"/>
          <w:sz w:val="21"/>
          <w:szCs w:val="21"/>
          <w:lang w:val="mk-MK"/>
        </w:rPr>
        <w:t>- заложен доверител</w:t>
      </w:r>
      <w:r w:rsidR="005B487B">
        <w:rPr>
          <w:rFonts w:ascii="Arial" w:hAnsi="Arial" w:cs="Arial"/>
          <w:sz w:val="21"/>
          <w:szCs w:val="21"/>
        </w:rPr>
        <w:tab/>
      </w:r>
    </w:p>
    <w:p w:rsidR="005B487B" w:rsidRDefault="005B487B" w:rsidP="005B487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- Извршител Весна Деловска</w:t>
      </w:r>
    </w:p>
    <w:p w:rsidR="005B487B" w:rsidRDefault="005B487B" w:rsidP="005B487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962F82">
        <w:rPr>
          <w:rFonts w:ascii="Arial" w:hAnsi="Arial" w:cs="Arial"/>
          <w:sz w:val="21"/>
          <w:szCs w:val="21"/>
          <w:lang w:val="mk-MK"/>
        </w:rPr>
        <w:t xml:space="preserve">  </w:t>
      </w:r>
      <w:r>
        <w:rPr>
          <w:rFonts w:ascii="Arial" w:hAnsi="Arial" w:cs="Arial"/>
          <w:sz w:val="21"/>
          <w:szCs w:val="21"/>
          <w:lang w:val="mk-MK"/>
        </w:rPr>
        <w:t>-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Град Скопје</w:t>
      </w:r>
    </w:p>
    <w:p w:rsidR="005B487B" w:rsidRDefault="005B487B" w:rsidP="005B487B">
      <w:pPr>
        <w:pStyle w:val="BodyText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</w:t>
      </w:r>
      <w:r w:rsidR="00962F82">
        <w:rPr>
          <w:rFonts w:ascii="Arial" w:hAnsi="Arial" w:cs="Arial"/>
          <w:sz w:val="21"/>
          <w:szCs w:val="21"/>
          <w:lang w:val="en-GB"/>
        </w:rPr>
        <w:t xml:space="preserve">  </w:t>
      </w:r>
      <w:r>
        <w:rPr>
          <w:rFonts w:ascii="Arial" w:hAnsi="Arial" w:cs="Arial"/>
          <w:sz w:val="21"/>
          <w:szCs w:val="21"/>
          <w:lang w:val="mk-MK"/>
        </w:rPr>
        <w:t>-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МФ-УЈП - Регионална дирекција Скопје</w:t>
      </w:r>
    </w:p>
    <w:p w:rsidR="005B487B" w:rsidRDefault="005B487B" w:rsidP="005B487B">
      <w:pPr>
        <w:pStyle w:val="BodyText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</w:p>
    <w:p w:rsidR="005B487B" w:rsidRDefault="005B487B" w:rsidP="005B487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6E687B" w:rsidRPr="006E687B" w:rsidRDefault="006E687B" w:rsidP="005B487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B487B" w:rsidRDefault="005B487B" w:rsidP="005B487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B487B" w:rsidRDefault="005B487B" w:rsidP="005B487B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Правна поука</w:t>
      </w:r>
      <w:r>
        <w:rPr>
          <w:rFonts w:ascii="Arial" w:hAnsi="Arial" w:cs="Arial"/>
          <w:sz w:val="20"/>
          <w:szCs w:val="20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5B487B" w:rsidRDefault="005B487B" w:rsidP="005B487B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</w:p>
    <w:p w:rsidR="005B487B" w:rsidRDefault="005B487B" w:rsidP="005B487B">
      <w:pPr>
        <w:pStyle w:val="BodyText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        </w:t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</w:p>
    <w:p w:rsidR="005B487B" w:rsidRDefault="005B487B" w:rsidP="005B487B">
      <w:pPr>
        <w:pStyle w:val="BodyText"/>
        <w:rPr>
          <w:rFonts w:ascii="Arial" w:hAnsi="Arial" w:cs="Arial"/>
          <w:sz w:val="22"/>
          <w:lang w:val="mk-MK"/>
        </w:rPr>
      </w:pPr>
    </w:p>
    <w:p w:rsidR="005B487B" w:rsidRDefault="005B487B" w:rsidP="005B487B">
      <w:pPr>
        <w:ind w:firstLine="720"/>
        <w:jc w:val="both"/>
        <w:rPr>
          <w:rFonts w:ascii="Arial" w:hAnsi="Arial" w:cs="Arial"/>
          <w:sz w:val="22"/>
          <w:lang w:val="mk-MK"/>
        </w:rPr>
      </w:pPr>
    </w:p>
    <w:sectPr w:rsidR="005B487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D"/>
    <w:rsid w:val="0015082C"/>
    <w:rsid w:val="00162356"/>
    <w:rsid w:val="001D1202"/>
    <w:rsid w:val="00285A4E"/>
    <w:rsid w:val="002D6E87"/>
    <w:rsid w:val="00334708"/>
    <w:rsid w:val="003711E6"/>
    <w:rsid w:val="003F4FE9"/>
    <w:rsid w:val="004468A8"/>
    <w:rsid w:val="005B06D5"/>
    <w:rsid w:val="005B487B"/>
    <w:rsid w:val="005E2113"/>
    <w:rsid w:val="005E2B25"/>
    <w:rsid w:val="00606449"/>
    <w:rsid w:val="0062796F"/>
    <w:rsid w:val="006808FC"/>
    <w:rsid w:val="006971FC"/>
    <w:rsid w:val="006E687B"/>
    <w:rsid w:val="007629F5"/>
    <w:rsid w:val="00773850"/>
    <w:rsid w:val="007A2159"/>
    <w:rsid w:val="007B46B2"/>
    <w:rsid w:val="00843B8B"/>
    <w:rsid w:val="008474B6"/>
    <w:rsid w:val="00876333"/>
    <w:rsid w:val="008C7246"/>
    <w:rsid w:val="00905C7E"/>
    <w:rsid w:val="009576E7"/>
    <w:rsid w:val="00962F82"/>
    <w:rsid w:val="00993BAD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21AD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20.10.2022_4940%20-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продажба_20.10.2022_4940 - објава</Template>
  <TotalTime>0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2022-11-10T09:02:00Z</dcterms:created>
  <dcterms:modified xsi:type="dcterms:W3CDTF">2022-11-10T09:02:00Z</dcterms:modified>
</cp:coreProperties>
</file>