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57AD1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57AD1">
              <w:rPr>
                <w:rFonts w:ascii="Arial" w:eastAsia="Times New Roman" w:hAnsi="Arial" w:cs="Arial"/>
                <w:b/>
                <w:lang w:val="en-US"/>
              </w:rPr>
              <w:t>311/2009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57AD1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57AD1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57AD1" w:rsidP="009163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163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3032B5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Стопанска банка АД Скопје од </w:t>
      </w:r>
      <w:bookmarkStart w:id="9" w:name="DovGrad1"/>
      <w:bookmarkEnd w:id="9"/>
      <w:r>
        <w:rPr>
          <w:rFonts w:ascii="Arial" w:hAnsi="Arial" w:cs="Arial"/>
        </w:rPr>
        <w:t>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ЕМБС 4065549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ОДУ.бр.52/05 од 07.04.2005 година на Основен суд Струга,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Аџибајрам Луфи од </w:t>
      </w:r>
      <w:bookmarkStart w:id="19" w:name="DolzGrad1"/>
      <w:bookmarkEnd w:id="19"/>
      <w:r>
        <w:rPr>
          <w:rFonts w:ascii="Arial" w:hAnsi="Arial" w:cs="Arial"/>
        </w:rPr>
        <w:t xml:space="preserve">Струга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во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с.Велешта, </w:t>
      </w:r>
      <w:bookmarkStart w:id="22" w:name="Dolznik2"/>
      <w:bookmarkEnd w:id="22"/>
      <w:r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986.477,00 денари</w:t>
      </w:r>
      <w:r w:rsidR="0011664C" w:rsidRPr="00E96898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557AD1">
        <w:rPr>
          <w:rFonts w:ascii="Arial" w:hAnsi="Arial" w:cs="Arial"/>
        </w:rPr>
        <w:t>23.11.2023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16383" w:rsidRPr="002B66E0" w:rsidRDefault="00952FAA" w:rsidP="00916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B66E0">
        <w:rPr>
          <w:rFonts w:ascii="Arial" w:eastAsia="Times New Roman" w:hAnsi="Arial" w:cs="Arial"/>
        </w:rPr>
        <w:t xml:space="preserve"> 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916383">
        <w:rPr>
          <w:rFonts w:ascii="Arial" w:eastAsia="Times New Roman" w:hAnsi="Arial" w:cs="Arial"/>
          <w:bCs/>
        </w:rPr>
        <w:t xml:space="preserve">опишана </w:t>
      </w:r>
      <w:r w:rsidR="00916383">
        <w:rPr>
          <w:rFonts w:ascii="Arial" w:eastAsia="Times New Roman" w:hAnsi="Arial" w:cs="Arial"/>
          <w:b/>
          <w:bCs/>
        </w:rPr>
        <w:t>во лист Б од</w:t>
      </w:r>
      <w:r w:rsidR="00916383">
        <w:rPr>
          <w:rFonts w:ascii="Arial" w:eastAsia="Times New Roman" w:hAnsi="Arial" w:cs="Arial"/>
          <w:bCs/>
        </w:rPr>
        <w:t xml:space="preserve"> </w:t>
      </w:r>
      <w:r w:rsidR="00916383">
        <w:rPr>
          <w:rFonts w:ascii="Arial" w:eastAsia="Times New Roman" w:hAnsi="Arial" w:cs="Arial"/>
          <w:b/>
          <w:bCs/>
        </w:rPr>
        <w:t>имотен лист 1611 за КО Велешта како:</w:t>
      </w:r>
      <w:r w:rsidR="00916383">
        <w:rPr>
          <w:rFonts w:ascii="Arial" w:eastAsia="Times New Roman" w:hAnsi="Arial" w:cs="Arial"/>
          <w:bCs/>
        </w:rPr>
        <w:t xml:space="preserve">КП.бр.529 дел 1 на м.в.Село , катастарска култура ГИЗ површина од 1559 м.к.в.КП.бр.529 дел 1 на м.в.Село , катастарска култура ЗПЗ 1 површина од 202 м.к.в.КП.бр.529 дел 1 на м.в.Село , катастарска култура ЗПЗ 2 површина од 88 м.к.в.КП.бр.529 дел 1 на м.в.Село , катастарска култура ЗПЗ 3 површина од 25 м.к.в. </w:t>
      </w:r>
      <w:r w:rsidR="00916383">
        <w:rPr>
          <w:rFonts w:ascii="Arial" w:eastAsia="Times New Roman" w:hAnsi="Arial" w:cs="Arial"/>
          <w:b/>
          <w:bCs/>
        </w:rPr>
        <w:t>и недвижност опишана во лист В од имотен лист 1611 за КО Велешта како</w:t>
      </w:r>
      <w:r w:rsidR="00916383">
        <w:rPr>
          <w:rFonts w:ascii="Arial" w:eastAsia="Times New Roman" w:hAnsi="Arial" w:cs="Arial"/>
          <w:bCs/>
        </w:rPr>
        <w:t>:</w:t>
      </w:r>
      <w:r w:rsidR="00916383">
        <w:rPr>
          <w:rFonts w:ascii="Arial" w:eastAsia="Times New Roman" w:hAnsi="Arial" w:cs="Arial"/>
          <w:b/>
          <w:bCs/>
        </w:rPr>
        <w:t xml:space="preserve"> </w:t>
      </w:r>
      <w:r w:rsidR="00916383"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1 кат К1 број 1 намена на посебен/заеднички дел од зграда СТ внатрешна површина од 207 м.к.в.</w:t>
      </w:r>
      <w:r w:rsidR="00916383">
        <w:rPr>
          <w:rFonts w:ascii="Arial" w:eastAsia="Times New Roman" w:hAnsi="Arial" w:cs="Arial"/>
          <w:b/>
          <w:bCs/>
        </w:rPr>
        <w:t xml:space="preserve"> </w:t>
      </w:r>
      <w:r w:rsidR="00916383"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1 кат ПР број 1 намена на посебен/заеднички дел од зграда СТ внатрешна површина од 89 м.к.в.</w:t>
      </w:r>
      <w:r w:rsidR="00916383">
        <w:rPr>
          <w:rFonts w:ascii="Arial" w:eastAsia="Times New Roman" w:hAnsi="Arial" w:cs="Arial"/>
          <w:b/>
          <w:bCs/>
        </w:rPr>
        <w:t>,</w:t>
      </w:r>
      <w:r w:rsidR="00916383"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2 кат ПР број 2 намена на посебен/заеднички дел од зграда СТ внатрешна површина од 70 м.к.в.</w:t>
      </w:r>
      <w:r w:rsidR="00916383">
        <w:rPr>
          <w:rFonts w:ascii="Arial" w:eastAsia="Times New Roman" w:hAnsi="Arial" w:cs="Arial"/>
          <w:b/>
          <w:bCs/>
        </w:rPr>
        <w:t>,</w:t>
      </w:r>
      <w:r w:rsidR="00916383"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3 кат ПР број 3 намена на посебен/заеднички дел од зграда СТ внатрешна површина од 17 м.к.в.</w:t>
      </w:r>
      <w:r w:rsidR="00916383">
        <w:rPr>
          <w:rFonts w:ascii="Arial" w:eastAsia="Times New Roman" w:hAnsi="Arial" w:cs="Arial"/>
          <w:b/>
          <w:bCs/>
        </w:rPr>
        <w:t>,</w:t>
      </w:r>
      <w:r w:rsidR="00916383">
        <w:rPr>
          <w:rFonts w:ascii="Arial" w:eastAsia="Times New Roman" w:hAnsi="Arial" w:cs="Arial"/>
          <w:bCs/>
        </w:rPr>
        <w:t>КП.бр.529 дел 1 на м.в. Село , број на зграда/друг објект 2, намена на зграда преземена при конверзија на податоци од стариот ел.систем А1-1 влез 1 кат ПР број 1 намена на посебен/заеднички дел од зграда ПП внатрешна површина од 8 м.к.в.</w:t>
      </w:r>
      <w:r w:rsidR="00916383">
        <w:rPr>
          <w:rFonts w:ascii="Arial" w:eastAsia="Times New Roman" w:hAnsi="Arial" w:cs="Arial"/>
          <w:b/>
          <w:bCs/>
        </w:rPr>
        <w:t>,</w:t>
      </w:r>
      <w:r w:rsidR="00916383">
        <w:rPr>
          <w:rFonts w:ascii="Arial" w:eastAsia="Times New Roman" w:hAnsi="Arial" w:cs="Arial"/>
          <w:bCs/>
        </w:rPr>
        <w:t>КП.бр.529 дел 1 на м.в. Село , број на зграда/друг објект 2, намена на зграда преземена при конверзија на податоци од стариот ел.систем А1-1 влез 1 кат ПР број 1 намена на посебен/заеднички дел од зграда СТ внатрешна површина од 58 м.к.в.</w:t>
      </w:r>
      <w:r w:rsidR="00916383">
        <w:rPr>
          <w:rFonts w:ascii="Arial" w:eastAsia="Times New Roman" w:hAnsi="Arial" w:cs="Arial"/>
          <w:b/>
          <w:bCs/>
        </w:rPr>
        <w:t xml:space="preserve">, </w:t>
      </w:r>
      <w:r w:rsidR="00916383">
        <w:rPr>
          <w:rFonts w:ascii="Arial" w:eastAsia="Times New Roman" w:hAnsi="Arial" w:cs="Arial"/>
          <w:bCs/>
        </w:rPr>
        <w:t>КП.бр.529 дел 1 на м.в. Село , број на зграда/друг објект 3, намена на зграда преземена при конверзија на податоци од стариот ел.систем А5-4 влез 1 кат ПР број 1 намена на посебен/заеднички дел од зграда П внатрешна површина од 23 м.к.в.</w:t>
      </w:r>
      <w:r w:rsidR="00916383">
        <w:rPr>
          <w:rFonts w:ascii="Arial" w:eastAsia="Times New Roman" w:hAnsi="Arial" w:cs="Arial"/>
          <w:b/>
          <w:bCs/>
        </w:rPr>
        <w:t xml:space="preserve">, </w:t>
      </w:r>
      <w:r w:rsidR="00916383">
        <w:rPr>
          <w:rFonts w:ascii="Arial" w:hAnsi="Arial" w:cs="Arial"/>
          <w:b/>
          <w:bCs/>
        </w:rPr>
        <w:t>и недвижност опишана согласно геодетски елаборат за геодетски работи за посебни намени деловоден број 0810-1</w:t>
      </w:r>
      <w:r w:rsidR="00916383">
        <w:rPr>
          <w:rFonts w:ascii="Arial" w:hAnsi="Arial" w:cs="Arial"/>
          <w:b/>
          <w:bCs/>
          <w:lang w:val="en-US"/>
        </w:rPr>
        <w:t>0</w:t>
      </w:r>
      <w:r w:rsidR="00916383">
        <w:rPr>
          <w:rFonts w:ascii="Arial" w:hAnsi="Arial" w:cs="Arial"/>
          <w:b/>
          <w:bCs/>
        </w:rPr>
        <w:t>8/4-2</w:t>
      </w:r>
      <w:r w:rsidR="00916383">
        <w:rPr>
          <w:rFonts w:ascii="Arial" w:hAnsi="Arial" w:cs="Arial"/>
          <w:b/>
          <w:bCs/>
          <w:lang w:val="en-US"/>
        </w:rPr>
        <w:t>3</w:t>
      </w:r>
      <w:r w:rsidR="00916383">
        <w:rPr>
          <w:rFonts w:ascii="Arial" w:hAnsi="Arial" w:cs="Arial"/>
          <w:b/>
          <w:bCs/>
        </w:rPr>
        <w:t xml:space="preserve"> од </w:t>
      </w:r>
      <w:r w:rsidR="00916383">
        <w:rPr>
          <w:rFonts w:ascii="Arial" w:hAnsi="Arial" w:cs="Arial"/>
          <w:b/>
          <w:bCs/>
          <w:lang w:val="en-US"/>
        </w:rPr>
        <w:t>22.06.2023</w:t>
      </w:r>
      <w:r w:rsidR="00916383">
        <w:rPr>
          <w:rFonts w:ascii="Arial" w:hAnsi="Arial" w:cs="Arial"/>
          <w:b/>
          <w:bCs/>
        </w:rPr>
        <w:t xml:space="preserve"> година на ДГКР ГЕОПЛАН ИНЖЕНЕРИНГ ДОО Охрид како</w:t>
      </w:r>
      <w:r w:rsidR="00916383">
        <w:rPr>
          <w:rFonts w:ascii="Arial" w:hAnsi="Arial" w:cs="Arial"/>
          <w:bCs/>
        </w:rPr>
        <w:t>:</w:t>
      </w:r>
      <w:r w:rsidR="00916383">
        <w:rPr>
          <w:rFonts w:ascii="Arial" w:eastAsia="Times New Roman" w:hAnsi="Arial" w:cs="Arial"/>
          <w:bCs/>
        </w:rPr>
        <w:t xml:space="preserve"> КП.бр.529 дел 1 на м.в. Село , број на зграда/друг објект 2, намена на зграда преземена при конверзија на податоци од стариот ел.систем А1-1 влез 1 кат </w:t>
      </w:r>
      <w:r w:rsidR="00916383">
        <w:rPr>
          <w:rFonts w:ascii="Arial" w:eastAsia="Times New Roman" w:hAnsi="Arial" w:cs="Arial"/>
          <w:bCs/>
          <w:lang w:val="en-US"/>
        </w:rPr>
        <w:t>K1</w:t>
      </w:r>
      <w:r w:rsidR="00916383">
        <w:rPr>
          <w:rFonts w:ascii="Arial" w:eastAsia="Times New Roman" w:hAnsi="Arial" w:cs="Arial"/>
          <w:bCs/>
        </w:rPr>
        <w:t xml:space="preserve"> број 1 намена на посебен/заеднички дел од зграда СТ внатрешна површина од 63 м.к.в и КП.бр.529 дел 1 на м.в. Село , број на зграда/друг објект 2, намена на зграда преземена при конверзија на податоци од стариот ел.систем А1-1 влез 1 кат </w:t>
      </w:r>
      <w:r w:rsidR="00916383">
        <w:rPr>
          <w:rFonts w:ascii="Arial" w:eastAsia="Times New Roman" w:hAnsi="Arial" w:cs="Arial"/>
          <w:bCs/>
          <w:lang w:val="en-US"/>
        </w:rPr>
        <w:t>K1</w:t>
      </w:r>
      <w:r w:rsidR="00916383">
        <w:rPr>
          <w:rFonts w:ascii="Arial" w:eastAsia="Times New Roman" w:hAnsi="Arial" w:cs="Arial"/>
          <w:bCs/>
        </w:rPr>
        <w:t xml:space="preserve"> број 1 намена на посебен/заеднички дел од зграда ПП внатрешна површина од 7 м.к.в</w:t>
      </w:r>
      <w:r w:rsidR="00916383">
        <w:rPr>
          <w:rFonts w:ascii="Arial" w:hAnsi="Arial" w:cs="Arial"/>
        </w:rPr>
        <w:t xml:space="preserve"> која недвижност е со незапишани права</w:t>
      </w:r>
      <w:r w:rsidR="00916383">
        <w:rPr>
          <w:lang w:val="ru-RU"/>
        </w:rPr>
        <w:t xml:space="preserve">, во </w:t>
      </w:r>
      <w:r w:rsidR="00916383">
        <w:rPr>
          <w:rFonts w:ascii="Arial" w:eastAsia="Times New Roman" w:hAnsi="Arial" w:cs="Arial"/>
        </w:rPr>
        <w:t>сопственост на должникот Аџибајрам Луфи</w:t>
      </w:r>
      <w:r w:rsidR="002B66E0">
        <w:rPr>
          <w:rFonts w:ascii="Arial" w:eastAsia="Times New Roman" w:hAnsi="Arial" w:cs="Arial"/>
        </w:rPr>
        <w:t>.</w:t>
      </w:r>
    </w:p>
    <w:p w:rsidR="00916383" w:rsidRDefault="00916383" w:rsidP="0091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7AD1" w:rsidRDefault="00557AD1" w:rsidP="00952FAA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557AD1" w:rsidRPr="00557AD1" w:rsidRDefault="00557AD1" w:rsidP="00952FAA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24287D" w:rsidRPr="00737AF4" w:rsidRDefault="00952FAA" w:rsidP="00952FAA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B66E0">
        <w:rPr>
          <w:rFonts w:ascii="Arial" w:eastAsia="Times New Roman" w:hAnsi="Arial" w:cs="Arial"/>
          <w:b/>
        </w:rPr>
        <w:lastRenderedPageBreak/>
        <w:t xml:space="preserve">Продажбата ќе се одржи на ден </w:t>
      </w:r>
      <w:r w:rsidR="00916383" w:rsidRPr="002B66E0">
        <w:rPr>
          <w:rFonts w:ascii="Arial" w:eastAsia="Times New Roman" w:hAnsi="Arial" w:cs="Arial"/>
          <w:b/>
          <w:lang w:val="en-US"/>
        </w:rPr>
        <w:t xml:space="preserve">20.12.2023 </w:t>
      </w:r>
      <w:r w:rsidRPr="002B66E0">
        <w:rPr>
          <w:rFonts w:ascii="Arial" w:eastAsia="Times New Roman" w:hAnsi="Arial" w:cs="Arial"/>
          <w:b/>
        </w:rPr>
        <w:t xml:space="preserve">година во </w:t>
      </w:r>
      <w:r w:rsidR="00916383" w:rsidRPr="002B66E0">
        <w:rPr>
          <w:rFonts w:ascii="Arial" w:eastAsia="Times New Roman" w:hAnsi="Arial" w:cs="Arial"/>
          <w:b/>
          <w:lang w:val="en-US"/>
        </w:rPr>
        <w:t xml:space="preserve">13.30 </w:t>
      </w:r>
      <w:r w:rsidRPr="002B66E0">
        <w:rPr>
          <w:rFonts w:ascii="Arial" w:eastAsia="Times New Roman" w:hAnsi="Arial" w:cs="Arial"/>
          <w:b/>
        </w:rPr>
        <w:t xml:space="preserve">часот  во просториите на </w:t>
      </w:r>
      <w:r w:rsidR="0024287D" w:rsidRPr="00737AF4">
        <w:rPr>
          <w:rFonts w:ascii="Arial" w:hAnsi="Arial" w:cs="Arial"/>
          <w:b/>
        </w:rPr>
        <w:t>Извршителот Гордана Џутеска од Охрид, ул.Димитар Влахов бр.14</w:t>
      </w:r>
    </w:p>
    <w:p w:rsidR="0024287D" w:rsidRDefault="0024287D" w:rsidP="00952FA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52FAA" w:rsidRPr="002B66E0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B66E0">
        <w:rPr>
          <w:rFonts w:ascii="Arial" w:eastAsia="Times New Roman" w:hAnsi="Arial" w:cs="Arial"/>
          <w:b/>
        </w:rPr>
        <w:t xml:space="preserve">Почетната вредност на недвижноста, утврдена со заклучок </w:t>
      </w:r>
      <w:r w:rsidR="002B66E0" w:rsidRPr="002B66E0">
        <w:rPr>
          <w:rFonts w:ascii="Arial" w:eastAsia="Times New Roman" w:hAnsi="Arial" w:cs="Arial"/>
          <w:b/>
        </w:rPr>
        <w:t>за утврдување вредност од 15.0</w:t>
      </w:r>
      <w:r w:rsidR="003032B5">
        <w:rPr>
          <w:rFonts w:ascii="Arial" w:eastAsia="Times New Roman" w:hAnsi="Arial" w:cs="Arial"/>
          <w:b/>
        </w:rPr>
        <w:t>8</w:t>
      </w:r>
      <w:r w:rsidR="002B66E0" w:rsidRPr="002B66E0">
        <w:rPr>
          <w:rFonts w:ascii="Arial" w:eastAsia="Times New Roman" w:hAnsi="Arial" w:cs="Arial"/>
          <w:b/>
        </w:rPr>
        <w:t xml:space="preserve">.2023 година </w:t>
      </w:r>
      <w:r w:rsidRPr="002B66E0">
        <w:rPr>
          <w:rFonts w:ascii="Arial" w:eastAsia="Times New Roman" w:hAnsi="Arial" w:cs="Arial"/>
          <w:b/>
        </w:rPr>
        <w:t>на извршителот</w:t>
      </w:r>
      <w:r w:rsidR="002B66E0" w:rsidRPr="002B66E0">
        <w:rPr>
          <w:rFonts w:ascii="Arial" w:eastAsia="Times New Roman" w:hAnsi="Arial" w:cs="Arial"/>
          <w:b/>
        </w:rPr>
        <w:t xml:space="preserve"> Гордана Џутеска</w:t>
      </w:r>
      <w:r w:rsidRPr="002B66E0">
        <w:rPr>
          <w:rFonts w:ascii="Arial" w:eastAsia="Times New Roman" w:hAnsi="Arial" w:cs="Arial"/>
          <w:b/>
        </w:rPr>
        <w:t xml:space="preserve"> изнесува </w:t>
      </w:r>
      <w:r w:rsidR="002B66E0" w:rsidRPr="002B66E0">
        <w:rPr>
          <w:rFonts w:ascii="Arial" w:eastAsia="Times New Roman" w:hAnsi="Arial" w:cs="Arial"/>
          <w:b/>
          <w:lang w:val="en-US"/>
        </w:rPr>
        <w:t xml:space="preserve">11.622.393,00 </w:t>
      </w:r>
      <w:r w:rsidRPr="002B66E0">
        <w:rPr>
          <w:rFonts w:ascii="Arial" w:eastAsia="Times New Roman" w:hAnsi="Arial" w:cs="Arial"/>
          <w:b/>
        </w:rPr>
        <w:t>денари, под која недвижноста не може да се продаде на првото јавно наддавање.</w:t>
      </w:r>
    </w:p>
    <w:p w:rsidR="002B66E0" w:rsidRPr="00211393" w:rsidRDefault="002B66E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66E0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82CBE">
        <w:rPr>
          <w:rFonts w:ascii="Arial" w:eastAsia="Times New Roman" w:hAnsi="Arial" w:cs="Arial"/>
          <w:lang w:val="en-US"/>
        </w:rPr>
        <w:t>:</w:t>
      </w:r>
    </w:p>
    <w:p w:rsidR="003032B5" w:rsidRDefault="003032B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Нотарски акт – Договор за залог хипотека ОДУ.бр.52/05 од 07.04.2005 година на Нотар Афродита Билали од Струга</w:t>
      </w:r>
    </w:p>
    <w:p w:rsidR="003032B5" w:rsidRDefault="003032B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Р.бр.404/05 од 11.04.2005 година од Основен суд Струга</w:t>
      </w:r>
    </w:p>
    <w:p w:rsidR="003032B5" w:rsidRDefault="003032B5" w:rsidP="003032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Нотарски акт – Договор за залог хипотека ОДУ.бр.238/04 од 29.11.2004 година на Нотар Афродита Билали од Струга</w:t>
      </w:r>
    </w:p>
    <w:p w:rsidR="003032B5" w:rsidRPr="003032B5" w:rsidRDefault="003032B5" w:rsidP="003032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Р.бр.1018/2004 од 03.12.2004 година од Основен суд Струга</w:t>
      </w:r>
    </w:p>
    <w:p w:rsidR="00F82CBE" w:rsidRDefault="003032B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врз недвижност и.бр.311/2009 од 17.07.2009 година на Извршител Гордана Џутеска</w:t>
      </w:r>
    </w:p>
    <w:p w:rsidR="003032B5" w:rsidRPr="003032B5" w:rsidRDefault="003032B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Записник за превземање извршни дејствија- попис на недвижност и.бр.311/2009 од 19.06.2023 година на Извршител Гордана Џутеска</w:t>
      </w:r>
    </w:p>
    <w:p w:rsidR="002B66E0" w:rsidRDefault="002B66E0" w:rsidP="003032B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32B5" w:rsidRDefault="003032B5" w:rsidP="003032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032B5" w:rsidRDefault="003032B5" w:rsidP="003032B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032B5" w:rsidRPr="003032B5" w:rsidRDefault="003032B5" w:rsidP="003032B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3032B5" w:rsidRDefault="003032B5" w:rsidP="003032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3032B5" w:rsidRDefault="003032B5" w:rsidP="00FF42F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032B5" w:rsidRDefault="003032B5" w:rsidP="00303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3032B5" w:rsidRDefault="003032B5" w:rsidP="003032B5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3032B5" w:rsidRDefault="003032B5" w:rsidP="003032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916383">
        <w:trPr>
          <w:trHeight w:val="851"/>
        </w:trPr>
        <w:tc>
          <w:tcPr>
            <w:tcW w:w="4297" w:type="dxa"/>
          </w:tcPr>
          <w:p w:rsidR="00952FAA" w:rsidRPr="000406D7" w:rsidRDefault="00557AD1" w:rsidP="0091638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4228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2B5" w:rsidRDefault="00952FAA" w:rsidP="00303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3032B5">
        <w:rPr>
          <w:rFonts w:ascii="Arial" w:hAnsi="Arial" w:cs="Arial"/>
          <w:sz w:val="20"/>
          <w:szCs w:val="20"/>
        </w:rPr>
        <w:t>доверител</w:t>
      </w:r>
    </w:p>
    <w:p w:rsidR="003032B5" w:rsidRPr="003032B5" w:rsidRDefault="003032B5" w:rsidP="00303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должни</w:t>
      </w:r>
      <w:r>
        <w:rPr>
          <w:rFonts w:ascii="Arial" w:hAnsi="Arial" w:cs="Arial"/>
          <w:sz w:val="20"/>
          <w:szCs w:val="20"/>
          <w:lang w:val="en-US"/>
        </w:rPr>
        <w:t>k</w:t>
      </w:r>
    </w:p>
    <w:p w:rsidR="003032B5" w:rsidRDefault="003032B5" w:rsidP="00303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Струга</w:t>
      </w:r>
    </w:p>
    <w:p w:rsidR="003032B5" w:rsidRDefault="003032B5" w:rsidP="00303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952FAA" w:rsidRDefault="00952FAA" w:rsidP="003032B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557AD1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6" w:name="ODolz"/>
      <w:bookmarkEnd w:id="26"/>
      <w:r>
        <w:rPr>
          <w:rFonts w:ascii="Arial" w:hAnsi="Arial" w:cs="Arial"/>
          <w:color w:val="FFFFFF" w:themeColor="background1"/>
          <w:sz w:val="20"/>
          <w:szCs w:val="20"/>
        </w:rPr>
        <w:t>Аџибајрам Луфи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7" w:name="OSudPouka"/>
      <w:bookmarkEnd w:id="27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9E" w:rsidRDefault="009E209E" w:rsidP="00557AD1">
      <w:pPr>
        <w:spacing w:after="0" w:line="240" w:lineRule="auto"/>
      </w:pPr>
      <w:r>
        <w:separator/>
      </w:r>
    </w:p>
  </w:endnote>
  <w:endnote w:type="continuationSeparator" w:id="0">
    <w:p w:rsidR="009E209E" w:rsidRDefault="009E209E" w:rsidP="0055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F4" w:rsidRPr="00557AD1" w:rsidRDefault="00737AF4" w:rsidP="00557AD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2284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9E" w:rsidRDefault="009E209E" w:rsidP="00557AD1">
      <w:pPr>
        <w:spacing w:after="0" w:line="240" w:lineRule="auto"/>
      </w:pPr>
      <w:r>
        <w:separator/>
      </w:r>
    </w:p>
  </w:footnote>
  <w:footnote w:type="continuationSeparator" w:id="0">
    <w:p w:rsidR="009E209E" w:rsidRDefault="009E209E" w:rsidP="0055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12CE7"/>
    <w:rsid w:val="00034EB8"/>
    <w:rsid w:val="000C474E"/>
    <w:rsid w:val="0011664C"/>
    <w:rsid w:val="00215D6D"/>
    <w:rsid w:val="0024287D"/>
    <w:rsid w:val="002920F4"/>
    <w:rsid w:val="002B66E0"/>
    <w:rsid w:val="002C5C2D"/>
    <w:rsid w:val="002D2204"/>
    <w:rsid w:val="002D5048"/>
    <w:rsid w:val="002E516A"/>
    <w:rsid w:val="002F5706"/>
    <w:rsid w:val="003032B5"/>
    <w:rsid w:val="0030665A"/>
    <w:rsid w:val="00386DA4"/>
    <w:rsid w:val="003A0931"/>
    <w:rsid w:val="003D15BB"/>
    <w:rsid w:val="004146D1"/>
    <w:rsid w:val="00414FE7"/>
    <w:rsid w:val="0042284F"/>
    <w:rsid w:val="00525813"/>
    <w:rsid w:val="0053621B"/>
    <w:rsid w:val="00557AD1"/>
    <w:rsid w:val="00660FFC"/>
    <w:rsid w:val="006920B5"/>
    <w:rsid w:val="006A534E"/>
    <w:rsid w:val="006F50F6"/>
    <w:rsid w:val="007128EE"/>
    <w:rsid w:val="00725B20"/>
    <w:rsid w:val="00737AF4"/>
    <w:rsid w:val="00745193"/>
    <w:rsid w:val="00761A25"/>
    <w:rsid w:val="007E40D4"/>
    <w:rsid w:val="00857E59"/>
    <w:rsid w:val="00893643"/>
    <w:rsid w:val="008D04B0"/>
    <w:rsid w:val="008D558A"/>
    <w:rsid w:val="00916383"/>
    <w:rsid w:val="00952FAA"/>
    <w:rsid w:val="009E209E"/>
    <w:rsid w:val="009E438D"/>
    <w:rsid w:val="00A12EA6"/>
    <w:rsid w:val="00A40F13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356C2"/>
    <w:rsid w:val="00F4507F"/>
    <w:rsid w:val="00F82CBE"/>
    <w:rsid w:val="00F9711F"/>
    <w:rsid w:val="00FF42F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A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A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A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A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2023-11-23T12:36:00Z</cp:lastPrinted>
  <dcterms:created xsi:type="dcterms:W3CDTF">2023-12-01T08:03:00Z</dcterms:created>
  <dcterms:modified xsi:type="dcterms:W3CDTF">2023-12-01T08:03:00Z</dcterms:modified>
</cp:coreProperties>
</file>