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CFC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48A86EE4" w14:textId="77777777" w:rsidTr="009851EC">
        <w:tc>
          <w:tcPr>
            <w:tcW w:w="6204" w:type="dxa"/>
            <w:hideMark/>
          </w:tcPr>
          <w:p w14:paraId="0F90D5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4371F3A" wp14:editId="31B5EDE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250580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F4CDA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26B47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4A665100" w14:textId="77777777" w:rsidTr="009851EC">
        <w:tc>
          <w:tcPr>
            <w:tcW w:w="6204" w:type="dxa"/>
            <w:hideMark/>
          </w:tcPr>
          <w:p w14:paraId="00B2F4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6C5B8E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F72B11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E0113E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C1A1B21" w14:textId="77777777" w:rsidTr="009851EC">
        <w:tc>
          <w:tcPr>
            <w:tcW w:w="6204" w:type="dxa"/>
            <w:hideMark/>
          </w:tcPr>
          <w:p w14:paraId="523E48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A5E75B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4D684E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4B6990B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B899774" w14:textId="77777777" w:rsidTr="009851EC">
        <w:tc>
          <w:tcPr>
            <w:tcW w:w="6204" w:type="dxa"/>
            <w:hideMark/>
          </w:tcPr>
          <w:p w14:paraId="008F9C8E" w14:textId="21E9E39B" w:rsidR="00823825" w:rsidRPr="00DB4229" w:rsidRDefault="008045D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2075A5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6324D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8821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C2A8649" w14:textId="77777777" w:rsidTr="009851EC">
        <w:tc>
          <w:tcPr>
            <w:tcW w:w="6204" w:type="dxa"/>
            <w:hideMark/>
          </w:tcPr>
          <w:p w14:paraId="0883EC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80BF6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DFF21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FAC32E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8E64E41" w14:textId="77777777" w:rsidTr="009851EC">
        <w:tc>
          <w:tcPr>
            <w:tcW w:w="6204" w:type="dxa"/>
            <w:hideMark/>
          </w:tcPr>
          <w:p w14:paraId="666E96B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3B985EB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F767ED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FEC5784" w14:textId="5953E70B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045D1">
              <w:rPr>
                <w:rFonts w:ascii="Arial" w:eastAsia="Times New Roman" w:hAnsi="Arial" w:cs="Arial"/>
                <w:b/>
                <w:lang w:val="en-US"/>
              </w:rPr>
              <w:t>151/2020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71371602" w14:textId="77777777" w:rsidTr="009851EC">
        <w:tc>
          <w:tcPr>
            <w:tcW w:w="6204" w:type="dxa"/>
            <w:hideMark/>
          </w:tcPr>
          <w:p w14:paraId="7804B4A7" w14:textId="77777777" w:rsidR="008045D1" w:rsidRDefault="008045D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0654CB4A" w14:textId="67935E21" w:rsidR="00823825" w:rsidRPr="00DB4229" w:rsidRDefault="008045D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7E0787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1F102D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605A27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69A9472" w14:textId="77777777" w:rsidTr="009851EC">
        <w:tc>
          <w:tcPr>
            <w:tcW w:w="6204" w:type="dxa"/>
            <w:hideMark/>
          </w:tcPr>
          <w:p w14:paraId="69544CF3" w14:textId="5B1BA76C" w:rsidR="00823825" w:rsidRPr="00DB4229" w:rsidRDefault="008045D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6218FA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5A02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F1FEB8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2CCF13A" w14:textId="77777777" w:rsidTr="009851EC">
        <w:tc>
          <w:tcPr>
            <w:tcW w:w="6204" w:type="dxa"/>
            <w:hideMark/>
          </w:tcPr>
          <w:p w14:paraId="533DB86C" w14:textId="4EF2B160" w:rsidR="00823825" w:rsidRPr="00DB4229" w:rsidRDefault="008045D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01D8ED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A16D25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89121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B4F2506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64C20AF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18EBAAE" w14:textId="26C37EC1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045D1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045D1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045D1">
        <w:rPr>
          <w:rFonts w:ascii="Arial" w:hAnsi="Arial" w:cs="Arial"/>
        </w:rPr>
        <w:t>доверителот АД за осигурување и реосигурување "МАКЕДОНИЈА" Скопје, Виена Иншуренс Груп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045D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045D1">
        <w:rPr>
          <w:rFonts w:ascii="Arial" w:hAnsi="Arial" w:cs="Arial"/>
        </w:rPr>
        <w:t>ЕДБ 4030974258740 и ЕМБС 4067037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045D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045D1">
        <w:rPr>
          <w:rFonts w:ascii="Arial" w:hAnsi="Arial" w:cs="Arial"/>
        </w:rPr>
        <w:t>ул. 11 Октомври бр.25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045D1">
        <w:rPr>
          <w:rFonts w:ascii="Arial" w:hAnsi="Arial" w:cs="Arial"/>
        </w:rPr>
        <w:t>ОДУ бр.1271/16 од 29.12.2016 година на Нотар Весна Дончева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045D1">
        <w:rPr>
          <w:rFonts w:ascii="Arial" w:hAnsi="Arial" w:cs="Arial"/>
        </w:rPr>
        <w:t>должникот Друштво за производство на чевли БАРГАЛА АД штип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045D1">
        <w:rPr>
          <w:rFonts w:ascii="Arial" w:hAnsi="Arial" w:cs="Arial"/>
        </w:rPr>
        <w:t>Штип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045D1">
        <w:rPr>
          <w:rFonts w:ascii="Arial" w:hAnsi="Arial" w:cs="Arial"/>
        </w:rPr>
        <w:t>ЕДБ 4029996102613 и ЕМБС 4050614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045D1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045D1">
        <w:rPr>
          <w:rFonts w:ascii="Arial" w:hAnsi="Arial" w:cs="Arial"/>
        </w:rPr>
        <w:t>ГОЦЕ ДЕЛЧЕВ 44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045D1">
        <w:rPr>
          <w:rFonts w:ascii="Arial" w:hAnsi="Arial" w:cs="Arial"/>
        </w:rPr>
        <w:t xml:space="preserve">Друштво за производство на чевли БАРГАЛА АД </w:t>
      </w:r>
      <w:r w:rsidR="003E0961">
        <w:rPr>
          <w:rFonts w:ascii="Arial" w:hAnsi="Arial" w:cs="Arial"/>
        </w:rPr>
        <w:t>Ш</w:t>
      </w:r>
      <w:r w:rsidR="008045D1">
        <w:rPr>
          <w:rFonts w:ascii="Arial" w:hAnsi="Arial" w:cs="Arial"/>
        </w:rPr>
        <w:t>тип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045D1">
        <w:rPr>
          <w:rFonts w:ascii="Arial" w:hAnsi="Arial" w:cs="Arial"/>
        </w:rPr>
        <w:t>17.08.2022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0B9C8EA3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1018CC9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26CD03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37C72E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8519045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853F4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0A6136F9" w14:textId="42FADD73" w:rsidR="000621F0" w:rsidRDefault="00211393" w:rsidP="000621F0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</w:t>
      </w:r>
      <w:r w:rsidR="008045D1">
        <w:rPr>
          <w:rFonts w:ascii="Arial" w:eastAsia="Times New Roman" w:hAnsi="Arial" w:cs="Arial"/>
        </w:rPr>
        <w:t xml:space="preserve">  </w:t>
      </w:r>
      <w:r w:rsidRPr="00211393">
        <w:rPr>
          <w:rFonts w:ascii="Arial" w:eastAsia="Times New Roman" w:hAnsi="Arial" w:cs="Arial"/>
        </w:rPr>
        <w:t xml:space="preserve"> на недвижноста </w:t>
      </w:r>
      <w:r w:rsidR="000621F0">
        <w:rPr>
          <w:rFonts w:ascii="Arial" w:eastAsia="Times New Roman" w:hAnsi="Arial" w:cs="Arial"/>
        </w:rPr>
        <w:t>запишана во Имотен лист бр.</w:t>
      </w:r>
      <w:r w:rsidR="000621F0" w:rsidRPr="000621F0">
        <w:rPr>
          <w:rFonts w:ascii="Arial" w:hAnsi="Arial" w:cs="Arial"/>
          <w:bCs/>
        </w:rPr>
        <w:t xml:space="preserve"> </w:t>
      </w:r>
      <w:r w:rsidR="000621F0">
        <w:rPr>
          <w:rFonts w:ascii="Arial" w:hAnsi="Arial" w:cs="Arial"/>
          <w:bCs/>
        </w:rPr>
        <w:t>бр.85212 , КО Виница,</w:t>
      </w:r>
      <w:r w:rsidR="000621F0">
        <w:rPr>
          <w:rFonts w:ascii="Arial" w:hAnsi="Arial" w:cs="Arial"/>
        </w:rPr>
        <w:t xml:space="preserve"> при АКН на </w:t>
      </w:r>
      <w:r w:rsidR="003E0961">
        <w:rPr>
          <w:rFonts w:ascii="Arial" w:hAnsi="Arial" w:cs="Arial"/>
        </w:rPr>
        <w:t>Р</w:t>
      </w:r>
      <w:r w:rsidR="000621F0">
        <w:rPr>
          <w:rFonts w:ascii="Arial" w:hAnsi="Arial" w:cs="Arial"/>
        </w:rPr>
        <w:t>СМ – ЦКН Скопје</w:t>
      </w:r>
      <w:r w:rsidR="000621F0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означена како:</w:t>
      </w:r>
    </w:p>
    <w:tbl>
      <w:tblPr>
        <w:tblpPr w:leftFromText="180" w:rightFromText="180" w:vertAnchor="text" w:horzAnchor="margin" w:tblpXSpec="center" w:tblpY="117"/>
        <w:tblW w:w="1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"/>
        <w:gridCol w:w="870"/>
        <w:gridCol w:w="405"/>
        <w:gridCol w:w="1134"/>
        <w:gridCol w:w="284"/>
        <w:gridCol w:w="283"/>
        <w:gridCol w:w="426"/>
        <w:gridCol w:w="992"/>
        <w:gridCol w:w="1134"/>
        <w:gridCol w:w="1701"/>
        <w:gridCol w:w="1404"/>
        <w:gridCol w:w="1147"/>
        <w:gridCol w:w="236"/>
        <w:gridCol w:w="33"/>
      </w:tblGrid>
      <w:tr w:rsidR="000621F0" w14:paraId="2A54ACA7" w14:textId="77777777" w:rsidTr="000621F0">
        <w:tc>
          <w:tcPr>
            <w:tcW w:w="11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370A1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ЛИСТ Б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ПОДАТОЦИ ЗА ЗГРАДА ПОСЕБНИ ДЕЛОВИ ОД ЗГРАДИ И ДРУГИ ОБЈЕКТИ И ЗА ПРАВОТО НА СОПСТВЕНОСТ</w:t>
            </w:r>
          </w:p>
        </w:tc>
      </w:tr>
      <w:tr w:rsidR="000621F0" w14:paraId="6465D71D" w14:textId="77777777" w:rsidTr="000621F0">
        <w:trPr>
          <w:trHeight w:val="45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0462F" w14:textId="77777777" w:rsidR="000621F0" w:rsidRDefault="000621F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Бр.на КП</w:t>
            </w:r>
          </w:p>
          <w:p w14:paraId="27411F70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E588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Адреса улица и куќен број на зграда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3DB7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D6EDF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зграда превземена при конверзија на податоците на стариот ел систем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A32F3C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Влез/Кат/Број на посебен заеднички дел од зграда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02EA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4970F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Внатрешна површина во м2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024D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Сопственост/сосопственост/заедничка сопственост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9145E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 на предмет по кој е извршено запишување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5688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Датум и час на прием на пријавата за запишување</w:t>
            </w:r>
          </w:p>
        </w:tc>
        <w:tc>
          <w:tcPr>
            <w:tcW w:w="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CE766F6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0621F0" w14:paraId="7C9D8419" w14:textId="77777777" w:rsidTr="000621F0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A5505" w14:textId="77777777" w:rsidR="000621F0" w:rsidRDefault="000621F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Основен</w:t>
            </w:r>
          </w:p>
          <w:p w14:paraId="6B9C605A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95E18" w14:textId="77777777" w:rsidR="000621F0" w:rsidRDefault="000621F0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дел</w:t>
            </w:r>
          </w:p>
          <w:p w14:paraId="730BB33B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7C995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2961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3652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5B797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Влез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20E07E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5103EF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Број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D092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6EB2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96DAC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10C25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A4CF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6E7579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0621F0" w14:paraId="6E025477" w14:textId="77777777" w:rsidTr="000621F0">
        <w:trPr>
          <w:gridAfter w:val="1"/>
          <w:wAfter w:w="33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E1B336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10258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A4E979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D8C0A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Б.Единство 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479A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1D569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А1-1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74D75D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6E9CB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F3F6DF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B8F3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E50B8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61DC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6058C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1112-254/2020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906C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28.07.2020  11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43A6D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0621F0" w14:paraId="4ECF3FBA" w14:textId="77777777" w:rsidTr="000621F0">
        <w:trPr>
          <w:gridAfter w:val="1"/>
          <w:wAfter w:w="33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6F5682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10258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56AE0A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964B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Б.Единство 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7ADC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72BEE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А1-1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D136B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DEAE10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C86C84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A91F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C155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D2A1" w14:textId="77777777" w:rsidR="000621F0" w:rsidRDefault="000621F0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сосопственост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2634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1112-254/2020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7902D" w14:textId="77777777" w:rsidR="000621F0" w:rsidRDefault="000621F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28.07.2020  11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2EEC8" w14:textId="77777777" w:rsidR="000621F0" w:rsidRDefault="000621F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7FCCB0F0" w14:textId="77777777" w:rsidR="000621F0" w:rsidRDefault="000621F0" w:rsidP="00062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6AACD661" w14:textId="77777777" w:rsidR="000621F0" w:rsidRDefault="000621F0" w:rsidP="000621F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 вкупна внатрешна површина од 71 м2</w:t>
      </w:r>
    </w:p>
    <w:p w14:paraId="03A9365C" w14:textId="77777777" w:rsidR="000621F0" w:rsidRDefault="000621F0" w:rsidP="000621F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74"/>
        <w:tblW w:w="11163" w:type="dxa"/>
        <w:tblInd w:w="0" w:type="dxa"/>
        <w:tblLook w:val="04A0" w:firstRow="1" w:lastRow="0" w:firstColumn="1" w:lastColumn="0" w:noHBand="0" w:noVBand="1"/>
      </w:tblPr>
      <w:tblGrid>
        <w:gridCol w:w="900"/>
        <w:gridCol w:w="826"/>
        <w:gridCol w:w="1670"/>
        <w:gridCol w:w="398"/>
        <w:gridCol w:w="806"/>
        <w:gridCol w:w="803"/>
        <w:gridCol w:w="1109"/>
        <w:gridCol w:w="1572"/>
        <w:gridCol w:w="1547"/>
        <w:gridCol w:w="1532"/>
      </w:tblGrid>
      <w:tr w:rsidR="000621F0" w14:paraId="7B14C286" w14:textId="77777777" w:rsidTr="000621F0">
        <w:trPr>
          <w:trHeight w:val="316"/>
        </w:trPr>
        <w:tc>
          <w:tcPr>
            <w:tcW w:w="1116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72936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ЛИСТ Б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ПОДАТОЦИ ЗА ЗЕМЈИШТЕТО (КАТАСТАРСКА ПАРЦЕЛА ) И ЗА ПРАВО НА СОПСТВЕНОСТ</w:t>
            </w:r>
          </w:p>
        </w:tc>
      </w:tr>
      <w:tr w:rsidR="000621F0" w14:paraId="00050D5A" w14:textId="77777777" w:rsidTr="000621F0">
        <w:trPr>
          <w:trHeight w:val="675"/>
        </w:trPr>
        <w:tc>
          <w:tcPr>
            <w:tcW w:w="1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77A93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Број на катастарска парцела</w:t>
            </w:r>
          </w:p>
          <w:p w14:paraId="10A648D3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47DF3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Виканао место</w:t>
            </w:r>
          </w:p>
        </w:tc>
        <w:tc>
          <w:tcPr>
            <w:tcW w:w="20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0AF11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катастарска</w:t>
            </w:r>
          </w:p>
        </w:tc>
        <w:tc>
          <w:tcPr>
            <w:tcW w:w="1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8E635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Површина во м2</w:t>
            </w:r>
          </w:p>
        </w:tc>
        <w:tc>
          <w:tcPr>
            <w:tcW w:w="15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46096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сопственост</w:t>
            </w:r>
          </w:p>
        </w:tc>
        <w:tc>
          <w:tcPr>
            <w:tcW w:w="1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A3275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Број на предмет по кој е изврш запишувањето</w:t>
            </w:r>
          </w:p>
        </w:tc>
        <w:tc>
          <w:tcPr>
            <w:tcW w:w="1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E95C8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Датум и час на запишувањет</w:t>
            </w:r>
          </w:p>
        </w:tc>
      </w:tr>
      <w:tr w:rsidR="000621F0" w14:paraId="00BBA0D3" w14:textId="77777777" w:rsidTr="000621F0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CDDD431" w14:textId="77777777" w:rsidR="000621F0" w:rsidRDefault="000621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основен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2232DE" w14:textId="77777777" w:rsidR="000621F0" w:rsidRDefault="000621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дел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0658E5" w14:textId="77777777" w:rsidR="000621F0" w:rsidRDefault="000621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8D38C3" w14:textId="77777777" w:rsidR="000621F0" w:rsidRDefault="000621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култура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75614" w14:textId="77777777" w:rsidR="000621F0" w:rsidRDefault="000621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класа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3DEA73" w14:textId="77777777" w:rsidR="000621F0" w:rsidRDefault="000621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8058E" w14:textId="77777777" w:rsidR="000621F0" w:rsidRDefault="000621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A193D" w14:textId="77777777" w:rsidR="000621F0" w:rsidRDefault="000621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70E47" w14:textId="77777777" w:rsidR="000621F0" w:rsidRDefault="000621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621F0" w14:paraId="7510FD68" w14:textId="77777777" w:rsidTr="000621F0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1568C3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0DDD5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ADCEA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Брат. Единс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9E11D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гз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DE2C9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гиз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21D47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9E1C5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0627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3D9DD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1112-254/2020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9C902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28.07.2020 </w:t>
            </w:r>
          </w:p>
        </w:tc>
      </w:tr>
      <w:tr w:rsidR="000621F0" w14:paraId="5E97294C" w14:textId="77777777" w:rsidTr="000621F0">
        <w:trPr>
          <w:trHeight w:val="31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67B04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10258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A1926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3B8B2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Брат. Единс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1621A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гз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D4655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Зпз 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FD7EA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AE5DA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126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0BEBA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1B9F0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1112-254/2020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71A42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28.07.2020</w:t>
            </w:r>
          </w:p>
        </w:tc>
      </w:tr>
      <w:tr w:rsidR="000621F0" w14:paraId="7CF17BF4" w14:textId="77777777" w:rsidTr="000621F0">
        <w:trPr>
          <w:trHeight w:val="31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821D9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10258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7687D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0310A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Брат. Единс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63E39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гз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E0418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Зпз2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0026E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A1D97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DE55A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469B6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1112-254/2020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857E9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28.07.2020</w:t>
            </w:r>
          </w:p>
        </w:tc>
      </w:tr>
      <w:tr w:rsidR="000621F0" w14:paraId="68C6482A" w14:textId="77777777" w:rsidTr="000621F0">
        <w:trPr>
          <w:trHeight w:val="31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D38A6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10258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31FA1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14FD6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Брат. Единс</w:t>
            </w:r>
          </w:p>
        </w:tc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09165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гз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6A290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Зпз 3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7441B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C98D2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A866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сосопственост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C316B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1112-254/2020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0799C" w14:textId="77777777" w:rsidR="000621F0" w:rsidRDefault="00062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28.07.2020</w:t>
            </w:r>
          </w:p>
        </w:tc>
      </w:tr>
    </w:tbl>
    <w:p w14:paraId="19CB52CB" w14:textId="77777777" w:rsidR="000621F0" w:rsidRDefault="000621F0" w:rsidP="00062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D4B357C" w14:textId="2D0E4BBC" w:rsidR="00B32389" w:rsidRDefault="000621F0" w:rsidP="00B3238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 </w:t>
      </w:r>
      <w:r w:rsidR="00211393" w:rsidRPr="00211393"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Друштво за производство на чевли БАРГАЛА АД штип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Штип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>ЕДБ 4029996102613 и ЕМБС 4050614</w:t>
      </w:r>
      <w:r w:rsidRPr="00823825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ГОЦЕ ДЕЛЧЕВ 44.</w:t>
      </w:r>
      <w:r w:rsidR="00B32389">
        <w:rPr>
          <w:rFonts w:ascii="Arial" w:eastAsia="Times New Roman" w:hAnsi="Arial" w:cs="Arial"/>
        </w:rPr>
        <w:t xml:space="preserve"> </w:t>
      </w:r>
      <w:r w:rsidR="00211393" w:rsidRPr="000621F0">
        <w:rPr>
          <w:rFonts w:ascii="Arial" w:eastAsia="Times New Roman" w:hAnsi="Arial" w:cs="Arial"/>
          <w:b/>
          <w:bCs/>
        </w:rPr>
        <w:t>Продажбата ќе се одржи на ден</w:t>
      </w:r>
      <w:r w:rsidRPr="000621F0">
        <w:rPr>
          <w:rFonts w:ascii="Arial" w:eastAsia="Times New Roman" w:hAnsi="Arial" w:cs="Arial"/>
          <w:b/>
          <w:bCs/>
        </w:rPr>
        <w:t xml:space="preserve"> 06.09.2022 </w:t>
      </w:r>
      <w:r w:rsidR="00211393" w:rsidRPr="000621F0">
        <w:rPr>
          <w:rFonts w:ascii="Arial" w:eastAsia="Times New Roman" w:hAnsi="Arial" w:cs="Arial"/>
          <w:b/>
          <w:bCs/>
        </w:rPr>
        <w:t xml:space="preserve"> </w:t>
      </w:r>
      <w:r w:rsidRPr="000621F0">
        <w:rPr>
          <w:rFonts w:ascii="Arial" w:eastAsia="Times New Roman" w:hAnsi="Arial" w:cs="Arial"/>
          <w:b/>
          <w:bCs/>
          <w:lang w:val="ru-RU"/>
        </w:rPr>
        <w:t xml:space="preserve"> </w:t>
      </w:r>
      <w:r w:rsidR="00211393" w:rsidRPr="000621F0">
        <w:rPr>
          <w:rFonts w:ascii="Arial" w:eastAsia="Times New Roman" w:hAnsi="Arial" w:cs="Arial"/>
          <w:b/>
          <w:bCs/>
        </w:rPr>
        <w:t xml:space="preserve">година во </w:t>
      </w:r>
      <w:r w:rsidRPr="000621F0">
        <w:rPr>
          <w:rFonts w:ascii="Arial" w:eastAsia="Times New Roman" w:hAnsi="Arial" w:cs="Arial"/>
          <w:b/>
          <w:bCs/>
          <w:lang w:val="ru-RU"/>
        </w:rPr>
        <w:t xml:space="preserve">12 </w:t>
      </w:r>
      <w:r w:rsidR="00211393" w:rsidRPr="000621F0">
        <w:rPr>
          <w:rFonts w:ascii="Arial" w:eastAsia="Times New Roman" w:hAnsi="Arial" w:cs="Arial"/>
          <w:b/>
          <w:bCs/>
        </w:rPr>
        <w:t xml:space="preserve">часот  во просториите на </w:t>
      </w:r>
      <w:r w:rsidRPr="000621F0">
        <w:rPr>
          <w:rFonts w:ascii="Arial" w:eastAsia="Times New Roman" w:hAnsi="Arial" w:cs="Arial"/>
          <w:b/>
          <w:bCs/>
          <w:lang w:val="ru-RU"/>
        </w:rPr>
        <w:t xml:space="preserve"> Извршител Павел Томашевски на ул.11 Октомври бр.23 А-2/4 Скопје</w:t>
      </w:r>
      <w:r w:rsidR="00211393" w:rsidRPr="000621F0">
        <w:rPr>
          <w:rFonts w:ascii="Arial" w:eastAsia="Times New Roman" w:hAnsi="Arial" w:cs="Arial"/>
          <w:b/>
          <w:bCs/>
        </w:rPr>
        <w:t xml:space="preserve">. </w:t>
      </w:r>
      <w:r w:rsidR="00211393"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Павел Томашевски </w:t>
      </w:r>
      <w:r w:rsidR="00211393" w:rsidRPr="00211393">
        <w:rPr>
          <w:rFonts w:ascii="Arial" w:eastAsia="Times New Roman" w:hAnsi="Arial" w:cs="Arial"/>
        </w:rPr>
        <w:t xml:space="preserve">  изнесува</w:t>
      </w:r>
      <w:r w:rsidRPr="00062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предметната недвижност односно 1/2 недвижноста</w:t>
      </w:r>
      <w:r>
        <w:rPr>
          <w:rFonts w:ascii="Arial" w:eastAsia="Times New Roman" w:hAnsi="Arial" w:cs="Arial"/>
          <w:bCs/>
        </w:rPr>
        <w:t xml:space="preserve"> </w:t>
      </w:r>
      <w:r>
        <w:rPr>
          <w:rFonts w:ascii="Arial" w:hAnsi="Arial" w:cs="Arial"/>
        </w:rPr>
        <w:t xml:space="preserve">запишан во </w:t>
      </w:r>
      <w:r>
        <w:rPr>
          <w:rFonts w:ascii="Arial" w:hAnsi="Arial" w:cs="Arial"/>
          <w:bCs/>
        </w:rPr>
        <w:t>имотен лист бр.85212 , КО Виница,</w:t>
      </w:r>
      <w:r>
        <w:rPr>
          <w:rFonts w:ascii="Arial" w:hAnsi="Arial" w:cs="Arial"/>
        </w:rPr>
        <w:t xml:space="preserve"> при АКН на </w:t>
      </w:r>
      <w:r w:rsidR="003E0961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СМ – ЦКН Скопје,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11.168,00 ЕВРА</w:t>
      </w:r>
      <w:r>
        <w:rPr>
          <w:rFonts w:ascii="Arial" w:hAnsi="Arial" w:cs="Arial"/>
        </w:rPr>
        <w:t xml:space="preserve"> како почетна цена за продажба на недвижноста</w:t>
      </w:r>
      <w:r w:rsidR="00AD4D59">
        <w:rPr>
          <w:rFonts w:ascii="Arial" w:hAnsi="Arial" w:cs="Arial"/>
        </w:rPr>
        <w:t xml:space="preserve"> а, во денарска противвредност 686.839,оо денари  </w:t>
      </w:r>
      <w:r w:rsidR="00DE67F8">
        <w:rPr>
          <w:rFonts w:ascii="Arial" w:hAnsi="Arial" w:cs="Arial"/>
        </w:rPr>
        <w:t>без вклучен ДДВ</w:t>
      </w:r>
      <w:r w:rsidR="00211393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  <w:r w:rsidR="00B32389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DE67F8">
        <w:rPr>
          <w:rFonts w:ascii="Arial" w:eastAsia="Times New Roman" w:hAnsi="Arial" w:cs="Arial"/>
        </w:rPr>
        <w:t>Налог за извршување на Извршител Павел Томашевски</w:t>
      </w:r>
      <w:r w:rsidR="00FC7389">
        <w:rPr>
          <w:rFonts w:ascii="Arial" w:eastAsia="Times New Roman" w:hAnsi="Arial" w:cs="Arial"/>
        </w:rPr>
        <w:t xml:space="preserve"> И.бр 151/2020 од 21.08.2020 година</w:t>
      </w:r>
      <w:r w:rsidR="00DE67F8">
        <w:rPr>
          <w:rFonts w:ascii="Arial" w:eastAsia="Times New Roman" w:hAnsi="Arial" w:cs="Arial"/>
        </w:rPr>
        <w:t xml:space="preserve">, и Налог за извршување врз недвижнот од Извршител Емилија Павловска од Штип </w:t>
      </w:r>
      <w:r w:rsidR="00FC7389">
        <w:rPr>
          <w:rFonts w:ascii="Arial" w:eastAsia="Times New Roman" w:hAnsi="Arial" w:cs="Arial"/>
        </w:rPr>
        <w:t>И.бр 1132/2020 од 01.09.2020 година</w:t>
      </w:r>
      <w:r w:rsidR="00B32389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B32389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1673C650" w14:textId="70180D85" w:rsidR="00211393" w:rsidRPr="00B32389" w:rsidRDefault="00211393" w:rsidP="00B32389">
      <w:pPr>
        <w:jc w:val="both"/>
        <w:rPr>
          <w:rFonts w:ascii="Arial" w:eastAsia="Times New Roman" w:hAnsi="Arial" w:cs="Arial"/>
          <w:b/>
          <w:bCs/>
        </w:rPr>
      </w:pPr>
      <w:r w:rsidRPr="00B32389">
        <w:rPr>
          <w:rFonts w:ascii="Arial" w:eastAsia="Times New Roman" w:hAnsi="Arial" w:cs="Arial"/>
          <w:b/>
          <w:bCs/>
        </w:rPr>
        <w:t>Уплатата на паричните средства на име гаранција се врши на жиро сметката од извршителот со бр.</w:t>
      </w:r>
      <w:r w:rsidR="00FC7389" w:rsidRPr="00B32389">
        <w:rPr>
          <w:rFonts w:ascii="Arial" w:eastAsia="Times New Roman" w:hAnsi="Arial" w:cs="Arial"/>
          <w:b/>
          <w:bCs/>
          <w:lang w:val="ru-RU"/>
        </w:rPr>
        <w:t>25001500</w:t>
      </w:r>
      <w:r w:rsidR="00B32389">
        <w:rPr>
          <w:rFonts w:ascii="Arial" w:eastAsia="Times New Roman" w:hAnsi="Arial" w:cs="Arial"/>
          <w:b/>
          <w:bCs/>
          <w:lang w:val="ru-RU"/>
        </w:rPr>
        <w:t>0</w:t>
      </w:r>
      <w:r w:rsidR="00FC7389" w:rsidRPr="00B32389">
        <w:rPr>
          <w:rFonts w:ascii="Arial" w:eastAsia="Times New Roman" w:hAnsi="Arial" w:cs="Arial"/>
          <w:b/>
          <w:bCs/>
          <w:lang w:val="ru-RU"/>
        </w:rPr>
        <w:t xml:space="preserve">107465 </w:t>
      </w:r>
      <w:r w:rsidR="00FC7389" w:rsidRPr="00B32389">
        <w:rPr>
          <w:rFonts w:ascii="Arial" w:eastAsia="Times New Roman" w:hAnsi="Arial" w:cs="Arial"/>
          <w:b/>
          <w:bCs/>
        </w:rPr>
        <w:t xml:space="preserve"> </w:t>
      </w:r>
      <w:r w:rsidRPr="00B32389">
        <w:rPr>
          <w:rFonts w:ascii="Arial" w:eastAsia="Times New Roman" w:hAnsi="Arial" w:cs="Arial"/>
          <w:b/>
          <w:bCs/>
        </w:rPr>
        <w:t xml:space="preserve">која се води кај </w:t>
      </w:r>
      <w:r w:rsidR="00FC7389" w:rsidRPr="00B32389">
        <w:rPr>
          <w:rFonts w:ascii="Arial" w:eastAsia="Times New Roman" w:hAnsi="Arial" w:cs="Arial"/>
          <w:b/>
          <w:bCs/>
          <w:lang w:val="ru-RU"/>
        </w:rPr>
        <w:t xml:space="preserve">Извршител Паврел Томашевскли </w:t>
      </w:r>
      <w:r w:rsidRPr="00B32389">
        <w:rPr>
          <w:rFonts w:ascii="Arial" w:eastAsia="Times New Roman" w:hAnsi="Arial" w:cs="Arial"/>
          <w:b/>
          <w:bCs/>
        </w:rPr>
        <w:t xml:space="preserve">и даночен број </w:t>
      </w:r>
      <w:r w:rsidR="00FC7389" w:rsidRPr="00B32389">
        <w:rPr>
          <w:rFonts w:ascii="Arial" w:eastAsia="Times New Roman" w:hAnsi="Arial" w:cs="Arial"/>
          <w:b/>
          <w:bCs/>
          <w:lang w:val="ru-RU"/>
        </w:rPr>
        <w:t>5032010500297.</w:t>
      </w: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</w:t>
      </w:r>
      <w:r w:rsidR="00FC7389">
        <w:rPr>
          <w:rFonts w:ascii="Arial" w:eastAsia="Times New Roman" w:hAnsi="Arial" w:cs="Arial"/>
          <w:lang w:val="ru-RU"/>
        </w:rPr>
        <w:t xml:space="preserve"> 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</w:t>
      </w:r>
      <w:r w:rsidR="00FC7389">
        <w:rPr>
          <w:rFonts w:ascii="Arial" w:eastAsia="Times New Roman" w:hAnsi="Arial" w:cs="Arial"/>
        </w:rPr>
        <w:t xml:space="preserve"> 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728B9698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01D3383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2B4E10D1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CE7EEE0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C3F61F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2EB2234C" w14:textId="77777777" w:rsidTr="009851EC">
        <w:trPr>
          <w:trHeight w:val="851"/>
        </w:trPr>
        <w:tc>
          <w:tcPr>
            <w:tcW w:w="4297" w:type="dxa"/>
          </w:tcPr>
          <w:p w14:paraId="30C5C8B9" w14:textId="1B8F14BF" w:rsidR="00823825" w:rsidRPr="000406D7" w:rsidRDefault="008045D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1E2F97E4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E0961">
        <w:pict w14:anchorId="2B749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7pt;height:59.0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82E531C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F26B" w14:textId="77777777" w:rsidR="008045D1" w:rsidRDefault="008045D1" w:rsidP="008045D1">
      <w:pPr>
        <w:spacing w:after="0" w:line="240" w:lineRule="auto"/>
      </w:pPr>
      <w:r>
        <w:separator/>
      </w:r>
    </w:p>
  </w:endnote>
  <w:endnote w:type="continuationSeparator" w:id="0">
    <w:p w14:paraId="23BDEB32" w14:textId="77777777" w:rsidR="008045D1" w:rsidRDefault="008045D1" w:rsidP="0080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C31" w14:textId="27BB590C" w:rsidR="008045D1" w:rsidRPr="008045D1" w:rsidRDefault="008045D1" w:rsidP="008045D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BD36" w14:textId="77777777" w:rsidR="008045D1" w:rsidRDefault="008045D1" w:rsidP="008045D1">
      <w:pPr>
        <w:spacing w:after="0" w:line="240" w:lineRule="auto"/>
      </w:pPr>
      <w:r>
        <w:separator/>
      </w:r>
    </w:p>
  </w:footnote>
  <w:footnote w:type="continuationSeparator" w:id="0">
    <w:p w14:paraId="36F1471C" w14:textId="77777777" w:rsidR="008045D1" w:rsidRDefault="008045D1" w:rsidP="0080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621F0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0961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45D1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D4D59"/>
    <w:rsid w:val="00AE3FFA"/>
    <w:rsid w:val="00B20C15"/>
    <w:rsid w:val="00B269ED"/>
    <w:rsid w:val="00B32389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E67F8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7389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D0FBB"/>
  <w15:docId w15:val="{C0E085A7-A791-42BD-AD5F-4F5B5DC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4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D1"/>
    <w:rPr>
      <w:sz w:val="22"/>
      <w:szCs w:val="22"/>
      <w:lang w:eastAsia="en-US"/>
    </w:rPr>
  </w:style>
  <w:style w:type="table" w:styleId="TableGrid">
    <w:name w:val="Table Grid"/>
    <w:basedOn w:val="TableNormal"/>
    <w:rsid w:val="000621F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lC8T2XLPJSSCOJkiUmehnASmQDD92cxE/4S5JrE6oBc=</DigestValue>
    </Reference>
    <Reference Type="http://www.w3.org/2000/09/xmldsig#Object" URI="#idOfficeObject">
      <DigestMethod Algorithm="http://www.w3.org/2001/04/xmlenc#sha256"/>
      <DigestValue>LBU7eaqpQU+oPlcSH6fb0v60VTxMkaK7RqzYBLypGYo=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VrLqDf00HSwXrXrHpoI//TV/mhmvU+1nWU7UuCMKOC0=</DigestValue>
    </Reference>
  </SignedInfo>
  <SignatureValue>fZ6nP9XBpbPz0v6NVO2xJebKM3zbWuIWjs8aBA/InuOBp14FvVerW3q475mxlrQ7bou0RjFBwW+P
cHcwO8Ohw+bAdFZCqV9L17o4Nx5RKJ9zTe0QDkQqSRjw77o7A4tesP2hrBR5D10hC8+KEDUvETVP
R0Yp5QN4Vz10T2QYPmsAMJB1gZMttKa0HNtPxsVLu7BwM24wwIxusQ7IlMNIneUWU9/TqJOCJByd
DX3oYgWQpE97w8oI42GBTsoKSDUWUd8kXqrSMKgDwqnjvHakQ0sKuH7xRkJYMxnjct5vrszNGf5p
YolowVOh5+0AmZS+d3HGmPrJqNEWJWibk9N9yw==</SignatureValue>
  <KeyInfo>
    <X509Data>
      <X509Certificate>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+MBQ9TNSHMjCC/YgyUv4PtSt2OY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sOwR89zfbvXNmCq9OZMmUi7hebDlbCGMAJsKIH019wk=</DigestValue>
      </Reference>
      <Reference URI="/word/endnotes.xml?ContentType=application/vnd.openxmlformats-officedocument.wordprocessingml.endnotes+xml">
        <DigestMethod Algorithm="http://www.w3.org/2001/04/xmlenc#sha256"/>
        <DigestValue>h3viLe3x0jN+/BRGArLqJLIf9W9PVmVCo2LGYkA6KgM=</DigestValue>
      </Reference>
      <Reference URI="/word/fontTable.xml?ContentType=application/vnd.openxmlformats-officedocument.wordprocessingml.fontTable+xml">
        <DigestMethod Algorithm="http://www.w3.org/2001/04/xmlenc#sha256"/>
        <DigestValue>+Y4RSRBF66CSYG6wwcJpSpSZ8TVPS2A0Pwyt4B4a6yY=</DigestValue>
      </Reference>
      <Reference URI="/word/footer1.xml?ContentType=application/vnd.openxmlformats-officedocument.wordprocessingml.footer+xml">
        <DigestMethod Algorithm="http://www.w3.org/2001/04/xmlenc#sha256"/>
        <DigestValue>k68FcDcPQrvznTeCLr4tSR8prIUxk/GtBc/aKOmO9zc=</DigestValue>
      </Reference>
      <Reference URI="/word/footnotes.xml?ContentType=application/vnd.openxmlformats-officedocument.wordprocessingml.footnotes+xml">
        <DigestMethod Algorithm="http://www.w3.org/2001/04/xmlenc#sha256"/>
        <DigestValue>q7fS3FG8N/rC6MG6gMJDIjGjw1OryfPKM65XSEhvbHM=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K77I+PgIfnPkhCxAKv9KCfRxRv1x2mC9K55+KxSabu0=</DigestValue>
      </Reference>
      <Reference URI="/word/settings.xml?ContentType=application/vnd.openxmlformats-officedocument.wordprocessingml.settings+xml">
        <DigestMethod Algorithm="http://www.w3.org/2001/04/xmlenc#sha256"/>
        <DigestValue>cQC/oq7odzGVTYzbbNi2BS9iHFxTs7YKrNhW0QG3sxE=</DigestValue>
      </Reference>
      <Reference URI="/word/styles.xml?ContentType=application/vnd.openxmlformats-officedocument.wordprocessingml.styles+xml">
        <DigestMethod Algorithm="http://www.w3.org/2001/04/xmlenc#sha256"/>
        <DigestValue>gep7LJea71qAQkOQJYfHldhSbUFiAJRxYhOW0dVoTD4=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n+XLtJkGezaATpGQKo3lz7A4acFwiccxsmwrZWS/dos=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2022-08-17T07:14:16Z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2022-08-17T07:14:16Z</xd:SigningTime>
          <xd:SigningCertificate>
            <xd:Cert>
              <xd:CertDigest>
                <DigestMethod Algorithm="http://www.w3.org/2001/04/xmlenc#sha256"/>
                <DigestValue>GbQaFCgg5Wc5OF+UFY1AENAJG+nS2ebQiJftsGQmz7c=</DigestValue>
              </xd:CertDigest>
              <xd:IssuerSerial>
                <X509IssuerName>CN=KIBSTrust Issuing Qsig CA G2, OID.2.5.4.97=NTRMK-5529581, OU=KIBSTrust Services, O=KIBS AD Skopje, C=MK</X509IssuerName>
                <X509SerialNumber>139339930034939148959786128596946162056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Zivka</cp:lastModifiedBy>
  <cp:revision>4</cp:revision>
  <dcterms:created xsi:type="dcterms:W3CDTF">2022-08-17T05:55:00Z</dcterms:created>
  <dcterms:modified xsi:type="dcterms:W3CDTF">2022-08-17T07:14:00Z</dcterms:modified>
</cp:coreProperties>
</file>