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4613CD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613CD">
              <w:rPr>
                <w:rFonts w:ascii="Arial" w:eastAsia="Times New Roman" w:hAnsi="Arial" w:cs="Arial"/>
                <w:b/>
                <w:lang w:val="en-US"/>
              </w:rPr>
              <w:t>1058/2021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4613CD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4613CD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4613CD" w:rsidP="004613C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613C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ремитент Стопанска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4030996116744 и ЕМБС 4065549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11 Октомври бр. 7 преку полномошник Адвокат Александар Бачоски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ОДУ бр.68/18 од 10.04.2018 година на Нотар Васка Блажевска, против </w:t>
      </w:r>
      <w:bookmarkStart w:id="18" w:name="Dolznik1"/>
      <w:bookmarkEnd w:id="18"/>
      <w:r>
        <w:rPr>
          <w:rFonts w:ascii="Arial" w:hAnsi="Arial" w:cs="Arial"/>
        </w:rPr>
        <w:t>должниците должник трасант акцептант</w:t>
      </w:r>
      <w:r>
        <w:rPr>
          <w:rFonts w:ascii="Arial" w:hAnsi="Arial" w:cs="Arial"/>
        </w:rPr>
        <w:tab/>
        <w:t xml:space="preserve">Друштво за производство, трговија и услуги РВМ РУББЕР ВАСТ МЕНАЏМЕНТ ДООЕЛ увоз-извоз с. Порој, Тетово 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4028015527672 и ЕМБС 7086490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ул. бр.101 бр.75, с. Порој, </w:t>
      </w:r>
      <w:bookmarkStart w:id="25" w:name="Dolznik2"/>
      <w:bookmarkEnd w:id="25"/>
      <w:r>
        <w:rPr>
          <w:rFonts w:ascii="Arial" w:hAnsi="Arial" w:cs="Arial"/>
        </w:rPr>
        <w:t xml:space="preserve">должник емец авалист Друштво за производство,трговија и услуги СТУДЈЕСА-ПЕТРОЛ ДОО експорт-импорт с.Порој Тетово, со ЕДБ 4028993112190 и ЕМБС 4717767 и седиште на ул. 101 бр.1, с. Порој,  должник емец авалист Ремзи Шабани од Тетово со живеалиште на ул. 101 бр.бб, с. Порој, и должник емец авалист Ибрахим Шабани од Тетово со живеалиште на ул. 101 бр.бб, с.Порој,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122.901.001,00 денари </w:t>
      </w:r>
      <w:r w:rsidRPr="00457D28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10.11.2025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EE5BA7" w:rsidRPr="00457D28" w:rsidRDefault="00EE5BA7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FF28C9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</w:rPr>
        <w:t xml:space="preserve"> </w:t>
      </w:r>
    </w:p>
    <w:p w:rsidR="004613CD" w:rsidRPr="00D17E47" w:rsidRDefault="004613CD" w:rsidP="004613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>СЕ ОПРЕДЕЛУВА втора</w:t>
      </w:r>
      <w:r w:rsidRPr="00D17E47">
        <w:rPr>
          <w:rFonts w:ascii="Arial" w:eastAsia="Times New Roman" w:hAnsi="Arial" w:cs="Arial"/>
        </w:rPr>
        <w:t xml:space="preserve"> продажба со усно  јавно наддавање на недвижностите запишани во</w:t>
      </w:r>
      <w:r w:rsidRPr="00D17E47">
        <w:rPr>
          <w:rFonts w:ascii="Arial" w:hAnsi="Arial" w:cs="Arial"/>
        </w:rPr>
        <w:t xml:space="preserve"> Агенција за катастар на недвижности со следните ознаки</w:t>
      </w:r>
      <w:r w:rsidRPr="00D17E47">
        <w:rPr>
          <w:rFonts w:ascii="Arial" w:hAnsi="Arial" w:cs="Arial"/>
          <w:lang w:val="ru-RU"/>
        </w:rPr>
        <w:t>:</w:t>
      </w:r>
    </w:p>
    <w:p w:rsidR="004613CD" w:rsidRPr="00D17E47" w:rsidRDefault="004613CD" w:rsidP="004613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4613CD" w:rsidRPr="00D17E47" w:rsidRDefault="004613CD" w:rsidP="004613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D17E47">
        <w:rPr>
          <w:rFonts w:ascii="Arial" w:eastAsia="Times New Roman" w:hAnsi="Arial" w:cs="Arial"/>
          <w:b/>
        </w:rPr>
        <w:t xml:space="preserve">Недвижен имот </w:t>
      </w:r>
      <w:r w:rsidRPr="00D17E47">
        <w:rPr>
          <w:rFonts w:ascii="Arial" w:hAnsi="Arial" w:cs="Arial"/>
          <w:b/>
        </w:rPr>
        <w:t>запишан во ИЛ бр. 192 КО ЖЕЛИНО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3932"/>
        <w:gridCol w:w="855"/>
        <w:gridCol w:w="853"/>
        <w:gridCol w:w="468"/>
        <w:gridCol w:w="969"/>
      </w:tblGrid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 xml:space="preserve">192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КО ЖЕЛИНО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PBM РУББЕР ВАСТ МЕНАЏМЕНТ ДОО УВОЗ-ИЗВОЗ С.ПОРОЈ, ТЕТОВО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1/1</w:t>
            </w:r>
          </w:p>
        </w:tc>
      </w:tr>
    </w:tbl>
    <w:p w:rsidR="004613CD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680"/>
        <w:gridCol w:w="1529"/>
        <w:gridCol w:w="412"/>
        <w:gridCol w:w="747"/>
        <w:gridCol w:w="368"/>
        <w:gridCol w:w="484"/>
        <w:gridCol w:w="1189"/>
      </w:tblGrid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4613CD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79"/>
        <w:gridCol w:w="927"/>
        <w:gridCol w:w="1896"/>
        <w:gridCol w:w="507"/>
        <w:gridCol w:w="747"/>
        <w:gridCol w:w="1189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2178/1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29131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2178/1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која се наоѓа во: </w:t>
      </w:r>
    </w:p>
    <w:p w:rsidR="004613CD" w:rsidRPr="00C27CE8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-во владение и сопственост на должникот трасант акцептант Друштво за производство, трговија и услуги РВМ РУББЕР ВАСТ МЕНАЏМЕНТ ДОО увоз-извоз с. Порој, Тетово од Тетово со ЕДБ 4028015527672 и ЕМБС 7086490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 xml:space="preserve">ул. бр.101 бр.75, с. Порој; </w:t>
      </w: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</w:t>
      </w:r>
      <w:r>
        <w:rPr>
          <w:rFonts w:ascii="Arial" w:eastAsia="Times New Roman" w:hAnsi="Arial" w:cs="Arial"/>
          <w:lang w:val="en-US"/>
        </w:rPr>
        <w:t>18.</w:t>
      </w:r>
      <w:r>
        <w:rPr>
          <w:rFonts w:ascii="Arial" w:eastAsia="Times New Roman" w:hAnsi="Arial" w:cs="Arial"/>
        </w:rPr>
        <w:t xml:space="preserve">08.2025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</w:t>
      </w:r>
      <w:r w:rsidRPr="00B55B9A">
        <w:rPr>
          <w:rFonts w:ascii="Arial" w:eastAsia="Times New Roman" w:hAnsi="Arial" w:cs="Arial"/>
        </w:rPr>
        <w:t xml:space="preserve">изнесува </w:t>
      </w:r>
      <w:r w:rsidRPr="00B55B9A">
        <w:rPr>
          <w:rFonts w:ascii="Arial" w:hAnsi="Arial" w:cs="Arial"/>
        </w:rPr>
        <w:t>176.234.008,00 денари.</w:t>
      </w:r>
      <w:r>
        <w:rPr>
          <w:rFonts w:ascii="Arial" w:hAnsi="Arial" w:cs="Arial"/>
          <w:b/>
        </w:rPr>
        <w:t xml:space="preserve"> </w:t>
      </w:r>
      <w:r w:rsidRPr="004613CD">
        <w:rPr>
          <w:rFonts w:ascii="Arial" w:hAnsi="Arial" w:cs="Arial"/>
        </w:rPr>
        <w:t>С</w:t>
      </w:r>
      <w:r w:rsidRPr="004613CD">
        <w:rPr>
          <w:rFonts w:ascii="Arial" w:eastAsia="Times New Roman" w:hAnsi="Arial" w:cs="Arial"/>
        </w:rPr>
        <w:t>о</w:t>
      </w:r>
      <w:r w:rsidRPr="00C27CE8">
        <w:rPr>
          <w:rFonts w:ascii="Arial" w:eastAsia="Times New Roman" w:hAnsi="Arial" w:cs="Arial"/>
        </w:rPr>
        <w:t>гласно чл.185 ст.</w:t>
      </w:r>
      <w:r>
        <w:rPr>
          <w:rFonts w:ascii="Arial" w:eastAsia="Times New Roman" w:hAnsi="Arial" w:cs="Arial"/>
        </w:rPr>
        <w:t>2</w:t>
      </w:r>
      <w:r w:rsidRPr="00C27CE8">
        <w:rPr>
          <w:rFonts w:ascii="Arial" w:eastAsia="Times New Roman" w:hAnsi="Arial" w:cs="Arial"/>
        </w:rPr>
        <w:t xml:space="preserve"> ЗИ на предлог на доверител од</w:t>
      </w:r>
      <w:r>
        <w:rPr>
          <w:rFonts w:ascii="Arial" w:eastAsia="Times New Roman" w:hAnsi="Arial" w:cs="Arial"/>
        </w:rPr>
        <w:t xml:space="preserve"> 07.11</w:t>
      </w:r>
      <w:r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>
        <w:rPr>
          <w:rFonts w:ascii="Arial" w:eastAsia="Times New Roman" w:hAnsi="Arial" w:cs="Arial"/>
        </w:rPr>
        <w:t>10.11</w:t>
      </w:r>
      <w:r w:rsidRPr="00C27CE8">
        <w:rPr>
          <w:rFonts w:ascii="Arial" w:eastAsia="Times New Roman" w:hAnsi="Arial" w:cs="Arial"/>
        </w:rPr>
        <w:t>.2025  година, почет</w:t>
      </w:r>
      <w:r>
        <w:rPr>
          <w:rFonts w:ascii="Arial" w:eastAsia="Times New Roman" w:hAnsi="Arial" w:cs="Arial"/>
        </w:rPr>
        <w:t>на цена за продажба на второто</w:t>
      </w:r>
      <w:r w:rsidRPr="00C27CE8">
        <w:rPr>
          <w:rFonts w:ascii="Arial" w:eastAsia="Times New Roman" w:hAnsi="Arial" w:cs="Arial"/>
        </w:rPr>
        <w:t xml:space="preserve"> јавно надавање изнесува </w:t>
      </w:r>
      <w:r>
        <w:rPr>
          <w:rFonts w:ascii="Arial" w:hAnsi="Arial" w:cs="Arial"/>
          <w:b/>
        </w:rPr>
        <w:t>117.489.339</w:t>
      </w:r>
      <w:r w:rsidR="00B55B9A">
        <w:rPr>
          <w:rFonts w:ascii="Arial" w:hAnsi="Arial" w:cs="Arial"/>
          <w:b/>
        </w:rPr>
        <w:t>,00</w:t>
      </w:r>
      <w:r w:rsidRPr="00C27CE8">
        <w:rPr>
          <w:rFonts w:ascii="Arial" w:hAnsi="Arial" w:cs="Arial"/>
          <w:b/>
        </w:rPr>
        <w:t xml:space="preserve"> денари</w:t>
      </w:r>
      <w:r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>
        <w:rPr>
          <w:rFonts w:ascii="Arial" w:eastAsia="Times New Roman" w:hAnsi="Arial" w:cs="Arial"/>
        </w:rPr>
        <w:t>второто</w:t>
      </w:r>
      <w:r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Pr="00D17E47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по чл.166 ЗИ заведен под И.бр. 1058/2021 од 14.05.2025 година на Извршителот м-р Славица Ацовска. Нотарски акт Договор за залог хипотека на недвижен имот со својство на извршна исправа </w:t>
      </w:r>
      <w:r>
        <w:rPr>
          <w:rFonts w:ascii="Arial" w:hAnsi="Arial" w:cs="Arial"/>
        </w:rPr>
        <w:t>ОДУ бр.68/18 од 10.04.2018 година на Нотар Васка Блажевска</w:t>
      </w:r>
      <w:r>
        <w:rPr>
          <w:rFonts w:ascii="Arial" w:eastAsia="Times New Roman" w:hAnsi="Arial" w:cs="Arial"/>
        </w:rPr>
        <w:t xml:space="preserve">, во корист на доверител Стопанска Банка АД Скопје од Скопје. 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613CD" w:rsidRDefault="004613CD" w:rsidP="004613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Недвижности кои се запишани на КО ГРУПЧИН</w:t>
      </w: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бр.422 КО ГРУПЧИН</w:t>
      </w:r>
    </w:p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703"/>
        <w:gridCol w:w="3085"/>
        <w:gridCol w:w="855"/>
        <w:gridCol w:w="992"/>
        <w:gridCol w:w="468"/>
        <w:gridCol w:w="1297"/>
      </w:tblGrid>
      <w:tr w:rsidR="004613CD" w:rsidTr="004613CD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422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422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403"/>
        <w:gridCol w:w="1012"/>
        <w:gridCol w:w="933"/>
        <w:gridCol w:w="450"/>
        <w:gridCol w:w="816"/>
        <w:gridCol w:w="1542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Нива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-во совладение и сосопственост на должникот трасант акцептант  Шабани Ибрахим и Шабани Ремзи.</w:t>
      </w:r>
    </w:p>
    <w:p w:rsidR="00B55B9A" w:rsidRPr="00C27CE8" w:rsidRDefault="004613CD" w:rsidP="00B55B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B55B9A">
        <w:rPr>
          <w:rFonts w:ascii="Arial" w:hAnsi="Arial" w:cs="Arial"/>
        </w:rPr>
        <w:t xml:space="preserve">1.172.917,00 денари </w:t>
      </w:r>
      <w:r w:rsidRPr="00471BA0">
        <w:rPr>
          <w:rFonts w:ascii="Arial" w:hAnsi="Arial" w:cs="Arial"/>
        </w:rPr>
        <w:t>(од кои дел ½ од Ремзи Шабани износ од 586.459,00 денари и дел ½ од Шабани Ибрахим износ од 586.459,00 денари) како почетна цена за продажба на недвижноста.</w:t>
      </w:r>
      <w:r w:rsidR="00B55B9A" w:rsidRPr="00B55B9A">
        <w:rPr>
          <w:rFonts w:ascii="Arial" w:hAnsi="Arial" w:cs="Arial"/>
        </w:rPr>
        <w:t xml:space="preserve"> </w:t>
      </w:r>
      <w:r w:rsidR="00B55B9A" w:rsidRPr="004613CD">
        <w:rPr>
          <w:rFonts w:ascii="Arial" w:hAnsi="Arial" w:cs="Arial"/>
        </w:rPr>
        <w:t>С</w:t>
      </w:r>
      <w:r w:rsidR="00B55B9A" w:rsidRPr="004613CD">
        <w:rPr>
          <w:rFonts w:ascii="Arial" w:eastAsia="Times New Roman" w:hAnsi="Arial" w:cs="Arial"/>
        </w:rPr>
        <w:t>о</w:t>
      </w:r>
      <w:r w:rsidR="00B55B9A" w:rsidRPr="00C27CE8">
        <w:rPr>
          <w:rFonts w:ascii="Arial" w:eastAsia="Times New Roman" w:hAnsi="Arial" w:cs="Arial"/>
        </w:rPr>
        <w:t>гласно чл.185 ст.</w:t>
      </w:r>
      <w:r w:rsidR="00B55B9A">
        <w:rPr>
          <w:rFonts w:ascii="Arial" w:eastAsia="Times New Roman" w:hAnsi="Arial" w:cs="Arial"/>
        </w:rPr>
        <w:t>2</w:t>
      </w:r>
      <w:r w:rsidR="00B55B9A" w:rsidRPr="00C27CE8">
        <w:rPr>
          <w:rFonts w:ascii="Arial" w:eastAsia="Times New Roman" w:hAnsi="Arial" w:cs="Arial"/>
        </w:rPr>
        <w:t xml:space="preserve"> ЗИ на предлог на доверител од</w:t>
      </w:r>
      <w:r w:rsidR="00B55B9A">
        <w:rPr>
          <w:rFonts w:ascii="Arial" w:eastAsia="Times New Roman" w:hAnsi="Arial" w:cs="Arial"/>
        </w:rPr>
        <w:t xml:space="preserve"> 07.11</w:t>
      </w:r>
      <w:r w:rsidR="00B55B9A"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 w:rsidR="00B55B9A">
        <w:rPr>
          <w:rFonts w:ascii="Arial" w:eastAsia="Times New Roman" w:hAnsi="Arial" w:cs="Arial"/>
        </w:rPr>
        <w:t>10.11</w:t>
      </w:r>
      <w:r w:rsidR="00B55B9A" w:rsidRPr="00C27CE8">
        <w:rPr>
          <w:rFonts w:ascii="Arial" w:eastAsia="Times New Roman" w:hAnsi="Arial" w:cs="Arial"/>
        </w:rPr>
        <w:t>.2025  година, почет</w:t>
      </w:r>
      <w:r w:rsidR="00B55B9A">
        <w:rPr>
          <w:rFonts w:ascii="Arial" w:eastAsia="Times New Roman" w:hAnsi="Arial" w:cs="Arial"/>
        </w:rPr>
        <w:t>на цена за продажба на второто</w:t>
      </w:r>
      <w:r w:rsidR="00B55B9A" w:rsidRPr="00C27CE8">
        <w:rPr>
          <w:rFonts w:ascii="Arial" w:eastAsia="Times New Roman" w:hAnsi="Arial" w:cs="Arial"/>
        </w:rPr>
        <w:t xml:space="preserve"> јавно надавање изнесува </w:t>
      </w:r>
      <w:r w:rsidR="00B55B9A">
        <w:rPr>
          <w:rFonts w:ascii="Arial" w:hAnsi="Arial" w:cs="Arial"/>
          <w:b/>
        </w:rPr>
        <w:t>781.946,00</w:t>
      </w:r>
      <w:r w:rsidR="00B55B9A" w:rsidRPr="00C27CE8">
        <w:rPr>
          <w:rFonts w:ascii="Arial" w:hAnsi="Arial" w:cs="Arial"/>
          <w:b/>
        </w:rPr>
        <w:t xml:space="preserve"> денари</w:t>
      </w:r>
      <w:r w:rsidR="00B55B9A"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 w:rsidR="00B55B9A">
        <w:rPr>
          <w:rFonts w:ascii="Arial" w:eastAsia="Times New Roman" w:hAnsi="Arial" w:cs="Arial"/>
        </w:rPr>
        <w:t>второто</w:t>
      </w:r>
      <w:r w:rsidR="00B55B9A"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3CD" w:rsidRPr="00471BA0" w:rsidRDefault="004613CD" w:rsidP="004613C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613CD" w:rsidRPr="00471BA0" w:rsidRDefault="004613CD" w:rsidP="004613C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бр.1365 КО ГРУПЧИН</w:t>
      </w:r>
    </w:p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shd w:val="clear" w:color="auto" w:fill="FFFFFF"/>
        <w:tblLook w:val="04A0"/>
      </w:tblPr>
      <w:tblGrid>
        <w:gridCol w:w="1752"/>
        <w:gridCol w:w="2949"/>
        <w:gridCol w:w="992"/>
        <w:gridCol w:w="992"/>
        <w:gridCol w:w="468"/>
        <w:gridCol w:w="1247"/>
      </w:tblGrid>
      <w:tr w:rsidR="004613CD" w:rsidTr="004613CD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1365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lastRenderedPageBreak/>
              <w:t>1365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613CD" w:rsidRPr="00471BA0" w:rsidRDefault="004613CD" w:rsidP="004613C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8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1390"/>
        <w:gridCol w:w="1003"/>
        <w:gridCol w:w="3124"/>
        <w:gridCol w:w="439"/>
        <w:gridCol w:w="808"/>
        <w:gridCol w:w="1527"/>
        <w:gridCol w:w="109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Ибрахим и Шабани Ремзи.</w:t>
      </w:r>
    </w:p>
    <w:p w:rsidR="00B55B9A" w:rsidRPr="00C27CE8" w:rsidRDefault="004613CD" w:rsidP="00B55B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B55B9A">
        <w:rPr>
          <w:rFonts w:ascii="Arial" w:hAnsi="Arial" w:cs="Arial"/>
        </w:rPr>
        <w:t>570.725,00 денари</w:t>
      </w:r>
      <w:r w:rsidRPr="00471BA0">
        <w:rPr>
          <w:rFonts w:ascii="Arial" w:hAnsi="Arial" w:cs="Arial"/>
        </w:rPr>
        <w:t xml:space="preserve"> (од кои дел ½ од Ремзи Шабани износ од 285.363,00 денари и дел ½ од Шабани Ибрахим износ од 285.363,00 денари) како почетна цена за продажба на недвижноста.</w:t>
      </w:r>
      <w:r w:rsidR="00B55B9A" w:rsidRPr="00B55B9A">
        <w:rPr>
          <w:rFonts w:ascii="Arial" w:hAnsi="Arial" w:cs="Arial"/>
        </w:rPr>
        <w:t xml:space="preserve"> </w:t>
      </w:r>
      <w:r w:rsidR="00B55B9A" w:rsidRPr="004613CD">
        <w:rPr>
          <w:rFonts w:ascii="Arial" w:hAnsi="Arial" w:cs="Arial"/>
        </w:rPr>
        <w:t>С</w:t>
      </w:r>
      <w:r w:rsidR="00B55B9A" w:rsidRPr="004613CD">
        <w:rPr>
          <w:rFonts w:ascii="Arial" w:eastAsia="Times New Roman" w:hAnsi="Arial" w:cs="Arial"/>
        </w:rPr>
        <w:t>о</w:t>
      </w:r>
      <w:r w:rsidR="00B55B9A" w:rsidRPr="00C27CE8">
        <w:rPr>
          <w:rFonts w:ascii="Arial" w:eastAsia="Times New Roman" w:hAnsi="Arial" w:cs="Arial"/>
        </w:rPr>
        <w:t>гласно чл.185 ст.</w:t>
      </w:r>
      <w:r w:rsidR="00B55B9A">
        <w:rPr>
          <w:rFonts w:ascii="Arial" w:eastAsia="Times New Roman" w:hAnsi="Arial" w:cs="Arial"/>
        </w:rPr>
        <w:t>2</w:t>
      </w:r>
      <w:r w:rsidR="00B55B9A" w:rsidRPr="00C27CE8">
        <w:rPr>
          <w:rFonts w:ascii="Arial" w:eastAsia="Times New Roman" w:hAnsi="Arial" w:cs="Arial"/>
        </w:rPr>
        <w:t xml:space="preserve"> ЗИ на предлог на доверител од</w:t>
      </w:r>
      <w:r w:rsidR="00B55B9A">
        <w:rPr>
          <w:rFonts w:ascii="Arial" w:eastAsia="Times New Roman" w:hAnsi="Arial" w:cs="Arial"/>
        </w:rPr>
        <w:t xml:space="preserve"> 07.11</w:t>
      </w:r>
      <w:r w:rsidR="00B55B9A"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 w:rsidR="00B55B9A">
        <w:rPr>
          <w:rFonts w:ascii="Arial" w:eastAsia="Times New Roman" w:hAnsi="Arial" w:cs="Arial"/>
        </w:rPr>
        <w:t>10.11</w:t>
      </w:r>
      <w:r w:rsidR="00B55B9A" w:rsidRPr="00C27CE8">
        <w:rPr>
          <w:rFonts w:ascii="Arial" w:eastAsia="Times New Roman" w:hAnsi="Arial" w:cs="Arial"/>
        </w:rPr>
        <w:t>.2025  година, почет</w:t>
      </w:r>
      <w:r w:rsidR="00B55B9A">
        <w:rPr>
          <w:rFonts w:ascii="Arial" w:eastAsia="Times New Roman" w:hAnsi="Arial" w:cs="Arial"/>
        </w:rPr>
        <w:t>на цена за продажба на второто</w:t>
      </w:r>
      <w:r w:rsidR="00B55B9A" w:rsidRPr="00C27CE8">
        <w:rPr>
          <w:rFonts w:ascii="Arial" w:eastAsia="Times New Roman" w:hAnsi="Arial" w:cs="Arial"/>
        </w:rPr>
        <w:t xml:space="preserve"> јавно надавање изнесува </w:t>
      </w:r>
      <w:r w:rsidR="00B55B9A">
        <w:rPr>
          <w:rFonts w:ascii="Arial" w:hAnsi="Arial" w:cs="Arial"/>
          <w:b/>
        </w:rPr>
        <w:t>380.484,00</w:t>
      </w:r>
      <w:r w:rsidR="00B55B9A" w:rsidRPr="00C27CE8">
        <w:rPr>
          <w:rFonts w:ascii="Arial" w:hAnsi="Arial" w:cs="Arial"/>
          <w:b/>
        </w:rPr>
        <w:t xml:space="preserve"> денари</w:t>
      </w:r>
      <w:r w:rsidR="00B55B9A"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 w:rsidR="00B55B9A">
        <w:rPr>
          <w:rFonts w:ascii="Arial" w:eastAsia="Times New Roman" w:hAnsi="Arial" w:cs="Arial"/>
        </w:rPr>
        <w:t>второто</w:t>
      </w:r>
      <w:r w:rsidR="00B55B9A"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3CD" w:rsidRPr="00471BA0" w:rsidRDefault="004613CD" w:rsidP="004613C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бр.1369 КО ГРУПЧИН</w:t>
      </w:r>
    </w:p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787"/>
        <w:gridCol w:w="3024"/>
        <w:gridCol w:w="855"/>
        <w:gridCol w:w="992"/>
        <w:gridCol w:w="468"/>
        <w:gridCol w:w="1274"/>
      </w:tblGrid>
      <w:tr w:rsidR="004613CD" w:rsidTr="004613CD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1369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1369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58"/>
        <w:gridCol w:w="927"/>
        <w:gridCol w:w="1795"/>
        <w:gridCol w:w="406"/>
        <w:gridCol w:w="747"/>
        <w:gridCol w:w="1412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Ибрахим и Шабани Ремзи.</w:t>
      </w:r>
    </w:p>
    <w:p w:rsidR="00B55B9A" w:rsidRPr="00C27CE8" w:rsidRDefault="004613CD" w:rsidP="00B55B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B55B9A">
        <w:rPr>
          <w:rFonts w:ascii="Arial" w:hAnsi="Arial" w:cs="Arial"/>
        </w:rPr>
        <w:t>530.003,00 денари</w:t>
      </w:r>
      <w:r w:rsidRPr="00471BA0">
        <w:rPr>
          <w:rFonts w:ascii="Arial" w:hAnsi="Arial" w:cs="Arial"/>
        </w:rPr>
        <w:t xml:space="preserve"> (од кои дел ½ од Ремзи Шабани износ од 265.002,00 денари и дел ½ од Шабани Ибрахим износ од 265.002,00 денари) како почетна цена за продажба на недвижноста.</w:t>
      </w:r>
      <w:r w:rsidR="00B55B9A" w:rsidRPr="00B55B9A">
        <w:rPr>
          <w:rFonts w:ascii="Arial" w:hAnsi="Arial" w:cs="Arial"/>
        </w:rPr>
        <w:t xml:space="preserve"> </w:t>
      </w:r>
      <w:r w:rsidR="00B55B9A" w:rsidRPr="004613CD">
        <w:rPr>
          <w:rFonts w:ascii="Arial" w:hAnsi="Arial" w:cs="Arial"/>
        </w:rPr>
        <w:t>С</w:t>
      </w:r>
      <w:r w:rsidR="00B55B9A" w:rsidRPr="004613CD">
        <w:rPr>
          <w:rFonts w:ascii="Arial" w:eastAsia="Times New Roman" w:hAnsi="Arial" w:cs="Arial"/>
        </w:rPr>
        <w:t>о</w:t>
      </w:r>
      <w:r w:rsidR="00B55B9A" w:rsidRPr="00C27CE8">
        <w:rPr>
          <w:rFonts w:ascii="Arial" w:eastAsia="Times New Roman" w:hAnsi="Arial" w:cs="Arial"/>
        </w:rPr>
        <w:t>гласно чл.185 ст.</w:t>
      </w:r>
      <w:r w:rsidR="00B55B9A">
        <w:rPr>
          <w:rFonts w:ascii="Arial" w:eastAsia="Times New Roman" w:hAnsi="Arial" w:cs="Arial"/>
        </w:rPr>
        <w:t>2</w:t>
      </w:r>
      <w:r w:rsidR="00B55B9A" w:rsidRPr="00C27CE8">
        <w:rPr>
          <w:rFonts w:ascii="Arial" w:eastAsia="Times New Roman" w:hAnsi="Arial" w:cs="Arial"/>
        </w:rPr>
        <w:t xml:space="preserve"> ЗИ на предлог на доверител од</w:t>
      </w:r>
      <w:r w:rsidR="00B55B9A">
        <w:rPr>
          <w:rFonts w:ascii="Arial" w:eastAsia="Times New Roman" w:hAnsi="Arial" w:cs="Arial"/>
        </w:rPr>
        <w:t xml:space="preserve"> 07.11</w:t>
      </w:r>
      <w:r w:rsidR="00B55B9A"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 w:rsidR="00B55B9A">
        <w:rPr>
          <w:rFonts w:ascii="Arial" w:eastAsia="Times New Roman" w:hAnsi="Arial" w:cs="Arial"/>
        </w:rPr>
        <w:t>10.11</w:t>
      </w:r>
      <w:r w:rsidR="00B55B9A" w:rsidRPr="00C27CE8">
        <w:rPr>
          <w:rFonts w:ascii="Arial" w:eastAsia="Times New Roman" w:hAnsi="Arial" w:cs="Arial"/>
        </w:rPr>
        <w:t>.2025  година, почет</w:t>
      </w:r>
      <w:r w:rsidR="00B55B9A">
        <w:rPr>
          <w:rFonts w:ascii="Arial" w:eastAsia="Times New Roman" w:hAnsi="Arial" w:cs="Arial"/>
        </w:rPr>
        <w:t>на цена за продажба на второто</w:t>
      </w:r>
      <w:r w:rsidR="00B55B9A" w:rsidRPr="00C27CE8">
        <w:rPr>
          <w:rFonts w:ascii="Arial" w:eastAsia="Times New Roman" w:hAnsi="Arial" w:cs="Arial"/>
        </w:rPr>
        <w:t xml:space="preserve"> јавно надавање изнесува </w:t>
      </w:r>
      <w:r w:rsidR="00B55B9A">
        <w:rPr>
          <w:rFonts w:ascii="Arial" w:hAnsi="Arial" w:cs="Arial"/>
          <w:b/>
        </w:rPr>
        <w:t>353.336,00</w:t>
      </w:r>
      <w:r w:rsidR="00B55B9A" w:rsidRPr="00C27CE8">
        <w:rPr>
          <w:rFonts w:ascii="Arial" w:hAnsi="Arial" w:cs="Arial"/>
          <w:b/>
        </w:rPr>
        <w:t xml:space="preserve"> денари</w:t>
      </w:r>
      <w:r w:rsidR="00B55B9A"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 w:rsidR="00B55B9A">
        <w:rPr>
          <w:rFonts w:ascii="Arial" w:eastAsia="Times New Roman" w:hAnsi="Arial" w:cs="Arial"/>
        </w:rPr>
        <w:t>второто</w:t>
      </w:r>
      <w:r w:rsidR="00B55B9A"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бр.1424 КО ГРУПЧИН</w:t>
      </w:r>
    </w:p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2229"/>
        <w:gridCol w:w="1975"/>
        <w:gridCol w:w="989"/>
        <w:gridCol w:w="1064"/>
        <w:gridCol w:w="541"/>
        <w:gridCol w:w="1602"/>
      </w:tblGrid>
      <w:tr w:rsidR="004613CD" w:rsidTr="004613CD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1424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РЕМЗИ ШАБАНИ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230/1083</w:t>
            </w:r>
          </w:p>
        </w:tc>
      </w:tr>
    </w:tbl>
    <w:p w:rsidR="004613CD" w:rsidRPr="00471BA0" w:rsidRDefault="004613CD" w:rsidP="004613CD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429"/>
        <w:gridCol w:w="1031"/>
        <w:gridCol w:w="949"/>
        <w:gridCol w:w="451"/>
        <w:gridCol w:w="685"/>
        <w:gridCol w:w="1570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Нива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РАВША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л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Ливади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РАВША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Ремзи.</w:t>
      </w:r>
    </w:p>
    <w:p w:rsidR="00B55B9A" w:rsidRPr="00C27CE8" w:rsidRDefault="004613CD" w:rsidP="00B55B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>износ од</w:t>
      </w:r>
      <w:r w:rsidRPr="00471BA0">
        <w:rPr>
          <w:rFonts w:ascii="Arial" w:hAnsi="Arial" w:cs="Arial"/>
          <w:b/>
        </w:rPr>
        <w:t xml:space="preserve"> </w:t>
      </w:r>
      <w:r w:rsidRPr="00B55B9A">
        <w:rPr>
          <w:rFonts w:ascii="Arial" w:hAnsi="Arial" w:cs="Arial"/>
        </w:rPr>
        <w:t>140.207,00 денари</w:t>
      </w:r>
      <w:r>
        <w:rPr>
          <w:rFonts w:ascii="Arial" w:hAnsi="Arial" w:cs="Arial"/>
          <w:b/>
        </w:rPr>
        <w:t xml:space="preserve"> само за</w:t>
      </w:r>
      <w:r w:rsidRPr="00471BA0">
        <w:rPr>
          <w:rFonts w:ascii="Arial" w:hAnsi="Arial" w:cs="Arial"/>
          <w:b/>
        </w:rPr>
        <w:t xml:space="preserve"> дел 230/1083 од Ремзи Шабани</w:t>
      </w:r>
      <w:r>
        <w:rPr>
          <w:rFonts w:ascii="Arial" w:hAnsi="Arial" w:cs="Arial"/>
          <w:b/>
        </w:rPr>
        <w:t>.</w:t>
      </w:r>
      <w:r w:rsidRPr="00471BA0">
        <w:rPr>
          <w:rFonts w:ascii="Arial" w:hAnsi="Arial" w:cs="Arial"/>
          <w:b/>
        </w:rPr>
        <w:t xml:space="preserve"> </w:t>
      </w:r>
      <w:r w:rsidR="00B55B9A" w:rsidRPr="004613CD">
        <w:rPr>
          <w:rFonts w:ascii="Arial" w:hAnsi="Arial" w:cs="Arial"/>
        </w:rPr>
        <w:t>С</w:t>
      </w:r>
      <w:r w:rsidR="00B55B9A" w:rsidRPr="004613CD">
        <w:rPr>
          <w:rFonts w:ascii="Arial" w:eastAsia="Times New Roman" w:hAnsi="Arial" w:cs="Arial"/>
        </w:rPr>
        <w:t>о</w:t>
      </w:r>
      <w:r w:rsidR="00B55B9A" w:rsidRPr="00C27CE8">
        <w:rPr>
          <w:rFonts w:ascii="Arial" w:eastAsia="Times New Roman" w:hAnsi="Arial" w:cs="Arial"/>
        </w:rPr>
        <w:t>гласно чл.185 ст.</w:t>
      </w:r>
      <w:r w:rsidR="00B55B9A">
        <w:rPr>
          <w:rFonts w:ascii="Arial" w:eastAsia="Times New Roman" w:hAnsi="Arial" w:cs="Arial"/>
        </w:rPr>
        <w:t>2</w:t>
      </w:r>
      <w:r w:rsidR="00B55B9A" w:rsidRPr="00C27CE8">
        <w:rPr>
          <w:rFonts w:ascii="Arial" w:eastAsia="Times New Roman" w:hAnsi="Arial" w:cs="Arial"/>
        </w:rPr>
        <w:t xml:space="preserve"> ЗИ на предлог на доверител од</w:t>
      </w:r>
      <w:r w:rsidR="00B55B9A">
        <w:rPr>
          <w:rFonts w:ascii="Arial" w:eastAsia="Times New Roman" w:hAnsi="Arial" w:cs="Arial"/>
        </w:rPr>
        <w:t xml:space="preserve"> 07.11</w:t>
      </w:r>
      <w:r w:rsidR="00B55B9A"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 w:rsidR="00B55B9A">
        <w:rPr>
          <w:rFonts w:ascii="Arial" w:eastAsia="Times New Roman" w:hAnsi="Arial" w:cs="Arial"/>
        </w:rPr>
        <w:t>10.11</w:t>
      </w:r>
      <w:r w:rsidR="00B55B9A" w:rsidRPr="00C27CE8">
        <w:rPr>
          <w:rFonts w:ascii="Arial" w:eastAsia="Times New Roman" w:hAnsi="Arial" w:cs="Arial"/>
        </w:rPr>
        <w:t>.2025  година, почет</w:t>
      </w:r>
      <w:r w:rsidR="00B55B9A">
        <w:rPr>
          <w:rFonts w:ascii="Arial" w:eastAsia="Times New Roman" w:hAnsi="Arial" w:cs="Arial"/>
        </w:rPr>
        <w:t>на цена за продажба на второто</w:t>
      </w:r>
      <w:r w:rsidR="00B55B9A" w:rsidRPr="00C27CE8">
        <w:rPr>
          <w:rFonts w:ascii="Arial" w:eastAsia="Times New Roman" w:hAnsi="Arial" w:cs="Arial"/>
        </w:rPr>
        <w:t xml:space="preserve"> јавно надавање изнесува </w:t>
      </w:r>
      <w:r w:rsidR="00B55B9A">
        <w:rPr>
          <w:rFonts w:ascii="Arial" w:hAnsi="Arial" w:cs="Arial"/>
          <w:b/>
        </w:rPr>
        <w:t>93.472,00</w:t>
      </w:r>
      <w:r w:rsidR="00B55B9A" w:rsidRPr="00C27CE8">
        <w:rPr>
          <w:rFonts w:ascii="Arial" w:hAnsi="Arial" w:cs="Arial"/>
          <w:b/>
        </w:rPr>
        <w:t xml:space="preserve"> денари</w:t>
      </w:r>
      <w:r w:rsidR="00B55B9A"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 w:rsidR="00B55B9A">
        <w:rPr>
          <w:rFonts w:ascii="Arial" w:eastAsia="Times New Roman" w:hAnsi="Arial" w:cs="Arial"/>
        </w:rPr>
        <w:t>второто</w:t>
      </w:r>
      <w:r w:rsidR="00B55B9A"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613CD" w:rsidRPr="00471BA0" w:rsidRDefault="004613CD" w:rsidP="004613C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4613CD" w:rsidRPr="00471BA0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бр.416 КО ГРУПЧИН</w:t>
      </w:r>
    </w:p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812"/>
        <w:gridCol w:w="3352"/>
        <w:gridCol w:w="713"/>
        <w:gridCol w:w="655"/>
        <w:gridCol w:w="472"/>
        <w:gridCol w:w="1396"/>
      </w:tblGrid>
      <w:tr w:rsidR="004613CD" w:rsidTr="004613CD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416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416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613CD" w:rsidRPr="00471BA0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40"/>
        <w:gridCol w:w="927"/>
        <w:gridCol w:w="1712"/>
        <w:gridCol w:w="507"/>
        <w:gridCol w:w="747"/>
        <w:gridCol w:w="1412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285/1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43408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285/3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Ибрахим и Шабани Ремзи.</w:t>
      </w:r>
    </w:p>
    <w:p w:rsidR="00B55B9A" w:rsidRPr="00C27CE8" w:rsidRDefault="004613CD" w:rsidP="00B55B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B55B9A">
        <w:rPr>
          <w:rFonts w:ascii="Arial" w:hAnsi="Arial" w:cs="Arial"/>
        </w:rPr>
        <w:t>58.046.126,00 денари</w:t>
      </w:r>
      <w:r w:rsidRPr="00471BA0">
        <w:rPr>
          <w:rFonts w:ascii="Arial" w:hAnsi="Arial" w:cs="Arial"/>
        </w:rPr>
        <w:t xml:space="preserve"> (од кои дел ½ од Ремзи Шабани износ од 29.023.063,00 денари и дел ½ од Шабани Ибрахим износ од 29.023.063,00 денари) како почетна цена за продажба на недвижноста.</w:t>
      </w:r>
      <w:r w:rsidR="00B55B9A" w:rsidRPr="00B55B9A">
        <w:rPr>
          <w:rFonts w:ascii="Arial" w:hAnsi="Arial" w:cs="Arial"/>
        </w:rPr>
        <w:t xml:space="preserve"> </w:t>
      </w:r>
      <w:r w:rsidR="00B55B9A" w:rsidRPr="004613CD">
        <w:rPr>
          <w:rFonts w:ascii="Arial" w:hAnsi="Arial" w:cs="Arial"/>
        </w:rPr>
        <w:t>С</w:t>
      </w:r>
      <w:r w:rsidR="00B55B9A" w:rsidRPr="004613CD">
        <w:rPr>
          <w:rFonts w:ascii="Arial" w:eastAsia="Times New Roman" w:hAnsi="Arial" w:cs="Arial"/>
        </w:rPr>
        <w:t>о</w:t>
      </w:r>
      <w:r w:rsidR="00B55B9A" w:rsidRPr="00C27CE8">
        <w:rPr>
          <w:rFonts w:ascii="Arial" w:eastAsia="Times New Roman" w:hAnsi="Arial" w:cs="Arial"/>
        </w:rPr>
        <w:t>гласно чл.185 ст.</w:t>
      </w:r>
      <w:r w:rsidR="00B55B9A">
        <w:rPr>
          <w:rFonts w:ascii="Arial" w:eastAsia="Times New Roman" w:hAnsi="Arial" w:cs="Arial"/>
        </w:rPr>
        <w:t>2</w:t>
      </w:r>
      <w:r w:rsidR="00B55B9A" w:rsidRPr="00C27CE8">
        <w:rPr>
          <w:rFonts w:ascii="Arial" w:eastAsia="Times New Roman" w:hAnsi="Arial" w:cs="Arial"/>
        </w:rPr>
        <w:t xml:space="preserve"> ЗИ на предлог на доверител од</w:t>
      </w:r>
      <w:r w:rsidR="00B55B9A">
        <w:rPr>
          <w:rFonts w:ascii="Arial" w:eastAsia="Times New Roman" w:hAnsi="Arial" w:cs="Arial"/>
        </w:rPr>
        <w:t xml:space="preserve"> 07.11</w:t>
      </w:r>
      <w:r w:rsidR="00B55B9A"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 w:rsidR="00B55B9A">
        <w:rPr>
          <w:rFonts w:ascii="Arial" w:eastAsia="Times New Roman" w:hAnsi="Arial" w:cs="Arial"/>
        </w:rPr>
        <w:t>10.11</w:t>
      </w:r>
      <w:r w:rsidR="00B55B9A" w:rsidRPr="00C27CE8">
        <w:rPr>
          <w:rFonts w:ascii="Arial" w:eastAsia="Times New Roman" w:hAnsi="Arial" w:cs="Arial"/>
        </w:rPr>
        <w:t>.2025  година, почет</w:t>
      </w:r>
      <w:r w:rsidR="00B55B9A">
        <w:rPr>
          <w:rFonts w:ascii="Arial" w:eastAsia="Times New Roman" w:hAnsi="Arial" w:cs="Arial"/>
        </w:rPr>
        <w:t>на цена за продажба на второто</w:t>
      </w:r>
      <w:r w:rsidR="00B55B9A" w:rsidRPr="00C27CE8">
        <w:rPr>
          <w:rFonts w:ascii="Arial" w:eastAsia="Times New Roman" w:hAnsi="Arial" w:cs="Arial"/>
        </w:rPr>
        <w:t xml:space="preserve"> јавно надавање изнесува </w:t>
      </w:r>
      <w:r w:rsidR="00B55B9A">
        <w:rPr>
          <w:rFonts w:ascii="Arial" w:hAnsi="Arial" w:cs="Arial"/>
          <w:b/>
        </w:rPr>
        <w:t>38.697.418,00</w:t>
      </w:r>
      <w:r w:rsidR="00B55B9A" w:rsidRPr="00C27CE8">
        <w:rPr>
          <w:rFonts w:ascii="Arial" w:hAnsi="Arial" w:cs="Arial"/>
          <w:b/>
        </w:rPr>
        <w:t xml:space="preserve"> денари</w:t>
      </w:r>
      <w:r w:rsidR="00B55B9A"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 w:rsidR="00B55B9A">
        <w:rPr>
          <w:rFonts w:ascii="Arial" w:eastAsia="Times New Roman" w:hAnsi="Arial" w:cs="Arial"/>
        </w:rPr>
        <w:t>второто</w:t>
      </w:r>
      <w:r w:rsidR="00B55B9A"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3CD" w:rsidRPr="00AF1748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3CD" w:rsidRPr="00AF1748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F1748">
        <w:rPr>
          <w:rFonts w:ascii="Arial" w:hAnsi="Arial" w:cs="Arial"/>
          <w:b/>
        </w:rPr>
        <w:t>Недвижен имот запишан во ИЛ бр.166 КО ГРУПЧИН</w:t>
      </w:r>
    </w:p>
    <w:p w:rsidR="004613CD" w:rsidRPr="00AF1748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F1748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812"/>
        <w:gridCol w:w="3352"/>
        <w:gridCol w:w="713"/>
        <w:gridCol w:w="655"/>
        <w:gridCol w:w="472"/>
        <w:gridCol w:w="1396"/>
      </w:tblGrid>
      <w:tr w:rsidR="004613CD" w:rsidTr="004613CD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166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5/20</w:t>
            </w:r>
          </w:p>
        </w:tc>
      </w:tr>
      <w:tr w:rsidR="004613CD" w:rsidTr="004613CD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166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5/20</w:t>
            </w:r>
          </w:p>
        </w:tc>
      </w:tr>
    </w:tbl>
    <w:p w:rsidR="004613CD" w:rsidRPr="00AF1748" w:rsidRDefault="004613CD" w:rsidP="004613CD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AF1748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57"/>
        <w:gridCol w:w="927"/>
        <w:gridCol w:w="1790"/>
        <w:gridCol w:w="412"/>
        <w:gridCol w:w="747"/>
        <w:gridCol w:w="1412"/>
      </w:tblGrid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613CD" w:rsidTr="004613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3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3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Default="004613CD" w:rsidP="004613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Ибрахим и Шабани Ремзи.</w:t>
      </w:r>
    </w:p>
    <w:p w:rsidR="00B55B9A" w:rsidRPr="00C27CE8" w:rsidRDefault="004613CD" w:rsidP="00B55B9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>,  изнесува</w:t>
      </w:r>
      <w:r>
        <w:rPr>
          <w:rFonts w:ascii="Arial" w:eastAsia="Times New Roman" w:hAnsi="Arial" w:cs="Arial"/>
        </w:rPr>
        <w:t xml:space="preserve"> </w:t>
      </w:r>
      <w:r w:rsidRPr="00B55B9A">
        <w:rPr>
          <w:rFonts w:ascii="Arial" w:eastAsia="Times New Roman" w:hAnsi="Arial" w:cs="Arial"/>
        </w:rPr>
        <w:t>1.481.108,00 денари</w:t>
      </w:r>
      <w:r>
        <w:rPr>
          <w:rFonts w:ascii="Arial" w:eastAsia="Times New Roman" w:hAnsi="Arial" w:cs="Arial"/>
        </w:rPr>
        <w:t xml:space="preserve"> </w:t>
      </w:r>
      <w:r w:rsidRPr="00B55B9A">
        <w:rPr>
          <w:rFonts w:ascii="Arial" w:eastAsia="Times New Roman" w:hAnsi="Arial" w:cs="Arial"/>
          <w:b/>
        </w:rPr>
        <w:t xml:space="preserve">само за сосопственичкиот дел на </w:t>
      </w:r>
      <w:r w:rsidRPr="00B55B9A">
        <w:rPr>
          <w:rFonts w:ascii="Arial" w:hAnsi="Arial" w:cs="Arial"/>
          <w:b/>
        </w:rPr>
        <w:t>Шабани Ибрахим и Шабани Ремзи</w:t>
      </w:r>
      <w:r w:rsidRPr="00B55B9A">
        <w:rPr>
          <w:rFonts w:ascii="Arial" w:eastAsia="Times New Roman" w:hAnsi="Arial" w:cs="Arial"/>
          <w:b/>
        </w:rPr>
        <w:t xml:space="preserve"> </w:t>
      </w:r>
      <w:r w:rsidRPr="00AF1748">
        <w:rPr>
          <w:rFonts w:ascii="Arial" w:hAnsi="Arial" w:cs="Arial"/>
        </w:rPr>
        <w:t>(за дел 5/20 од Ремзи Шабани износ од 740.554,00 денари и дел 5/20 од Шабани Ибрахим износ од 740.554,00 денари) како почетна цена за продажба на недвижноста).</w:t>
      </w:r>
      <w:r w:rsidR="00B55B9A" w:rsidRPr="00B55B9A">
        <w:rPr>
          <w:rFonts w:ascii="Arial" w:hAnsi="Arial" w:cs="Arial"/>
        </w:rPr>
        <w:t xml:space="preserve"> </w:t>
      </w:r>
      <w:r w:rsidR="00B55B9A" w:rsidRPr="004613CD">
        <w:rPr>
          <w:rFonts w:ascii="Arial" w:hAnsi="Arial" w:cs="Arial"/>
        </w:rPr>
        <w:t>С</w:t>
      </w:r>
      <w:r w:rsidR="00B55B9A" w:rsidRPr="004613CD">
        <w:rPr>
          <w:rFonts w:ascii="Arial" w:eastAsia="Times New Roman" w:hAnsi="Arial" w:cs="Arial"/>
        </w:rPr>
        <w:t>о</w:t>
      </w:r>
      <w:r w:rsidR="00B55B9A" w:rsidRPr="00C27CE8">
        <w:rPr>
          <w:rFonts w:ascii="Arial" w:eastAsia="Times New Roman" w:hAnsi="Arial" w:cs="Arial"/>
        </w:rPr>
        <w:t>гласно чл.185 ст.</w:t>
      </w:r>
      <w:r w:rsidR="00B55B9A">
        <w:rPr>
          <w:rFonts w:ascii="Arial" w:eastAsia="Times New Roman" w:hAnsi="Arial" w:cs="Arial"/>
        </w:rPr>
        <w:t>2</w:t>
      </w:r>
      <w:r w:rsidR="00B55B9A" w:rsidRPr="00C27CE8">
        <w:rPr>
          <w:rFonts w:ascii="Arial" w:eastAsia="Times New Roman" w:hAnsi="Arial" w:cs="Arial"/>
        </w:rPr>
        <w:t xml:space="preserve"> ЗИ на предлог на доверител од</w:t>
      </w:r>
      <w:r w:rsidR="00B55B9A">
        <w:rPr>
          <w:rFonts w:ascii="Arial" w:eastAsia="Times New Roman" w:hAnsi="Arial" w:cs="Arial"/>
        </w:rPr>
        <w:t xml:space="preserve"> 07.11</w:t>
      </w:r>
      <w:r w:rsidR="00B55B9A" w:rsidRPr="00C27CE8">
        <w:rPr>
          <w:rFonts w:ascii="Arial" w:eastAsia="Times New Roman" w:hAnsi="Arial" w:cs="Arial"/>
        </w:rPr>
        <w:t xml:space="preserve">.2025 година примен кај извршител на ден </w:t>
      </w:r>
      <w:r w:rsidR="00B55B9A">
        <w:rPr>
          <w:rFonts w:ascii="Arial" w:eastAsia="Times New Roman" w:hAnsi="Arial" w:cs="Arial"/>
        </w:rPr>
        <w:t>10.11</w:t>
      </w:r>
      <w:r w:rsidR="00B55B9A" w:rsidRPr="00C27CE8">
        <w:rPr>
          <w:rFonts w:ascii="Arial" w:eastAsia="Times New Roman" w:hAnsi="Arial" w:cs="Arial"/>
        </w:rPr>
        <w:t>.2025  година, почет</w:t>
      </w:r>
      <w:r w:rsidR="00B55B9A">
        <w:rPr>
          <w:rFonts w:ascii="Arial" w:eastAsia="Times New Roman" w:hAnsi="Arial" w:cs="Arial"/>
        </w:rPr>
        <w:t>на цена за продажба на второто</w:t>
      </w:r>
      <w:r w:rsidR="00B55B9A" w:rsidRPr="00C27CE8">
        <w:rPr>
          <w:rFonts w:ascii="Arial" w:eastAsia="Times New Roman" w:hAnsi="Arial" w:cs="Arial"/>
        </w:rPr>
        <w:t xml:space="preserve"> јавно надавање изнесува </w:t>
      </w:r>
      <w:r w:rsidR="00B55B9A">
        <w:rPr>
          <w:rFonts w:ascii="Arial" w:hAnsi="Arial" w:cs="Arial"/>
          <w:b/>
        </w:rPr>
        <w:t>987.406,00</w:t>
      </w:r>
      <w:r w:rsidR="00B55B9A" w:rsidRPr="00C27CE8">
        <w:rPr>
          <w:rFonts w:ascii="Arial" w:hAnsi="Arial" w:cs="Arial"/>
          <w:b/>
        </w:rPr>
        <w:t xml:space="preserve"> денари</w:t>
      </w:r>
      <w:r w:rsidR="00B55B9A" w:rsidRPr="00C27CE8">
        <w:rPr>
          <w:rFonts w:ascii="Arial" w:eastAsia="Times New Roman" w:hAnsi="Arial" w:cs="Arial"/>
        </w:rPr>
        <w:t xml:space="preserve"> под која недвижноста не може да се продаде на </w:t>
      </w:r>
      <w:r w:rsidR="00B55B9A">
        <w:rPr>
          <w:rFonts w:ascii="Arial" w:eastAsia="Times New Roman" w:hAnsi="Arial" w:cs="Arial"/>
        </w:rPr>
        <w:t>второто</w:t>
      </w:r>
      <w:r w:rsidR="00B55B9A" w:rsidRPr="00C27CE8">
        <w:rPr>
          <w:rFonts w:ascii="Arial" w:eastAsia="Times New Roman" w:hAnsi="Arial" w:cs="Arial"/>
        </w:rPr>
        <w:t xml:space="preserve"> јавно наддавање.</w:t>
      </w:r>
    </w:p>
    <w:p w:rsidR="004613CD" w:rsidRPr="00AF1748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3CD" w:rsidRPr="00471BA0" w:rsidRDefault="004613CD" w:rsidP="004613C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Налог за извршување по чл.166 ЗИ заведен под И.бр. 1058/2021 од 15.07.2021 година на Извршителот м-р Славица Ацовска. Налог за извршување по чл.166 ЗИ заведен под И.бр. 1058/2021 од 15.07.2021 година на Извршителот м-р Славица Ацовска. Налог за извршување по чл.166 ЗИ заведен под И.бр. 1058/2021 од 17.05.2022 година на Извршителот м-р Славица Ацовска. Налог за извршување по чл.166 ЗИ заведен под И.бр. 1058/2021 од 17.05.2022 година на Извршителот м-р Славица Ацовска. На недвижните имоти наведени во точка 2 има евидентирано Решение за обезбедување на даночно побарување во присилна наплата на средства на даночен гарант и воспоставување законско заложно право бр.34-2317/1 од 29.05.2025 година на РСМ Министерство за финансии-управа за јавни приходи-Регионална дирекција Тетово/оделение за наплата на долгови. Воспоставено заложно право во корист ан заложен доверител РСМ врз ½ недвижен имот соспственост на даночен должник-даночен гарант Ремзи Шабани, с. Порој Тетово.</w:t>
      </w:r>
    </w:p>
    <w:p w:rsidR="004613CD" w:rsidRPr="003717C9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3717C9">
        <w:rPr>
          <w:rFonts w:ascii="Arial" w:eastAsia="Times New Roman" w:hAnsi="Arial" w:cs="Arial"/>
          <w:b/>
        </w:rPr>
        <w:t>НАПОМЕНА</w:t>
      </w:r>
      <w:r w:rsidRPr="003717C9">
        <w:rPr>
          <w:rFonts w:ascii="Arial" w:eastAsia="Times New Roman" w:hAnsi="Arial" w:cs="Arial"/>
          <w:b/>
          <w:lang w:val="en-US"/>
        </w:rPr>
        <w:t xml:space="preserve">: </w:t>
      </w:r>
      <w:r>
        <w:rPr>
          <w:rFonts w:ascii="Arial" w:eastAsia="Times New Roman" w:hAnsi="Arial" w:cs="Arial"/>
          <w:b/>
        </w:rPr>
        <w:t>Целиот п</w:t>
      </w:r>
      <w:r w:rsidRPr="003717C9">
        <w:rPr>
          <w:rFonts w:ascii="Arial" w:eastAsia="Times New Roman" w:hAnsi="Arial" w:cs="Arial"/>
          <w:b/>
        </w:rPr>
        <w:t>огоренаведен недвижен имот се продава исклучиво како една целина.</w:t>
      </w:r>
    </w:p>
    <w:p w:rsidR="004613CD" w:rsidRPr="003717C9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EE5BA7">
        <w:rPr>
          <w:rFonts w:ascii="Arial" w:eastAsia="Times New Roman" w:hAnsi="Arial" w:cs="Arial"/>
          <w:b/>
        </w:rPr>
        <w:t>26.11</w:t>
      </w:r>
      <w:r>
        <w:rPr>
          <w:rFonts w:ascii="Arial" w:eastAsia="Times New Roman" w:hAnsi="Arial" w:cs="Arial"/>
          <w:b/>
        </w:rPr>
        <w:t>.2025 година (</w:t>
      </w:r>
      <w:r w:rsidR="00EE5BA7">
        <w:rPr>
          <w:rFonts w:ascii="Arial" w:eastAsia="Times New Roman" w:hAnsi="Arial" w:cs="Arial"/>
          <w:b/>
        </w:rPr>
        <w:t>среда</w:t>
      </w:r>
      <w:r>
        <w:rPr>
          <w:rFonts w:ascii="Arial" w:eastAsia="Times New Roman" w:hAnsi="Arial" w:cs="Arial"/>
          <w:b/>
        </w:rPr>
        <w:t>) во 1</w:t>
      </w:r>
      <w:r>
        <w:rPr>
          <w:rFonts w:ascii="Arial" w:eastAsia="Times New Roman" w:hAnsi="Arial" w:cs="Arial"/>
          <w:b/>
          <w:lang w:val="en-US"/>
        </w:rPr>
        <w:t>2</w:t>
      </w:r>
      <w:r>
        <w:rPr>
          <w:rFonts w:ascii="Arial" w:eastAsia="Times New Roman" w:hAnsi="Arial" w:cs="Arial"/>
          <w:b/>
        </w:rPr>
        <w:t>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 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EE5BA7">
        <w:rPr>
          <w:rFonts w:ascii="Arial" w:eastAsia="Times New Roman" w:hAnsi="Arial" w:cs="Arial"/>
        </w:rPr>
        <w:t>25.11</w:t>
      </w:r>
      <w:r>
        <w:rPr>
          <w:rFonts w:ascii="Arial" w:eastAsia="Times New Roman" w:hAnsi="Arial" w:cs="Arial"/>
        </w:rPr>
        <w:t>.2025 година, на жиро сметката од извршителот со бр. 290100000083563 која се води кај ТТК Банка АД Скопје и даночен број 5028007133065.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понудувач/купувач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РСМ.</w:t>
      </w:r>
    </w:p>
    <w:p w:rsidR="004613CD" w:rsidRDefault="004613CD" w:rsidP="004613C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4613CD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5BA7">
        <w:rPr>
          <w:rFonts w:ascii="Arial" w:hAnsi="Arial" w:cs="Arial"/>
        </w:rPr>
        <w:t xml:space="preserve">Д.-на: </w:t>
      </w:r>
      <w:r w:rsidRPr="00EE5BA7">
        <w:rPr>
          <w:rFonts w:ascii="Arial" w:hAnsi="Arial" w:cs="Arial"/>
        </w:rPr>
        <w:tab/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5BA7">
        <w:rPr>
          <w:rFonts w:ascii="Arial" w:hAnsi="Arial" w:cs="Arial"/>
        </w:rPr>
        <w:t>-Општина Желино-Одделение за наплата на даноци, такси и други надоместоци</w:t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E5BA7">
        <w:rPr>
          <w:rFonts w:ascii="Arial" w:hAnsi="Arial" w:cs="Arial"/>
        </w:rPr>
        <w:t>-Должник акцептант трговија и услуги РВМ РУББЕР ВАСТ МЕНАЏМЕНТ ДООЕЛ увоз-извоз с. Порој, Тетово од Тетово ул. бр.101 бр.75, с. Порој</w:t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5BA7">
        <w:rPr>
          <w:rFonts w:ascii="Arial" w:hAnsi="Arial" w:cs="Arial"/>
        </w:rPr>
        <w:t>-Доверител ремитент Стопанска Банка АД Скопје од Скопје</w:t>
      </w:r>
      <w:r w:rsidRPr="00EE5BA7">
        <w:rPr>
          <w:rFonts w:ascii="Arial" w:hAnsi="Arial" w:cs="Arial"/>
          <w:lang w:val="ru-RU"/>
        </w:rPr>
        <w:t xml:space="preserve"> </w:t>
      </w:r>
      <w:r w:rsidRPr="00EE5BA7">
        <w:rPr>
          <w:rFonts w:ascii="Arial" w:hAnsi="Arial" w:cs="Arial"/>
        </w:rPr>
        <w:t xml:space="preserve">преку полномошник Адвокат Александар Бачоски </w:t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5BA7">
        <w:rPr>
          <w:rFonts w:ascii="Arial" w:hAnsi="Arial" w:cs="Arial"/>
        </w:rPr>
        <w:t xml:space="preserve">-Должник емец авалист Ремзи Шабани ул. 101 бр.бб, с. Порој </w:t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5BA7">
        <w:rPr>
          <w:rFonts w:ascii="Arial" w:hAnsi="Arial" w:cs="Arial"/>
        </w:rPr>
        <w:t>-Должник емец авалист Ибрахим Шабани ул. 101 бр.бб, с. Порој</w:t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33"/>
        <w:tblW w:w="10369" w:type="dxa"/>
        <w:tblLook w:val="04A0"/>
      </w:tblPr>
      <w:tblGrid>
        <w:gridCol w:w="5542"/>
        <w:gridCol w:w="4827"/>
      </w:tblGrid>
      <w:tr w:rsidR="004613CD" w:rsidRPr="00EE5BA7" w:rsidTr="004613CD">
        <w:trPr>
          <w:trHeight w:val="357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5BA7">
              <w:rPr>
                <w:rFonts w:ascii="Arial" w:eastAsia="Times New Roman" w:hAnsi="Arial" w:cs="Arial"/>
                <w:color w:val="000000"/>
              </w:rPr>
              <w:t>-Сосопственик 853/108 од ИЛ бр.1424 КО ГРУПЧИН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3CD" w:rsidRPr="00EE5BA7" w:rsidRDefault="004613CD" w:rsidP="0046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613CD" w:rsidRPr="00EE5BA7" w:rsidRDefault="004613CD" w:rsidP="0046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ЈУМНИ ШЕРИФИ</w:t>
            </w:r>
            <w:r w:rsidRPr="00EE5BA7">
              <w:rPr>
                <w:rFonts w:ascii="Arial" w:eastAsia="Times New Roman" w:hAnsi="Arial" w:cs="Arial"/>
                <w:color w:val="000000"/>
              </w:rPr>
              <w:t xml:space="preserve"> с. Групчин </w:t>
            </w:r>
          </w:p>
        </w:tc>
      </w:tr>
      <w:tr w:rsidR="004613CD" w:rsidRPr="00EE5BA7" w:rsidTr="004613CD">
        <w:trPr>
          <w:trHeight w:val="42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5BA7">
              <w:rPr>
                <w:rFonts w:ascii="Arial" w:eastAsia="Times New Roman" w:hAnsi="Arial" w:cs="Arial"/>
                <w:color w:val="000000"/>
              </w:rPr>
              <w:t>-Сосопственик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EE5BA7">
              <w:rPr>
                <w:rFonts w:ascii="Arial" w:eastAsia="Times New Roman" w:hAnsi="Arial" w:cs="Arial"/>
                <w:color w:val="000000"/>
              </w:rPr>
              <w:t>2/20 од ИЛ бр.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 w:rsidRPr="00EE5BA7"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ЈАШАРИ ЗЕЌИР ХАЈРЕДИН</w:t>
            </w:r>
            <w:r w:rsidRPr="00EE5BA7"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4613CD" w:rsidRPr="00EE5BA7" w:rsidTr="004613CD">
        <w:trPr>
          <w:trHeight w:val="26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5BA7">
              <w:rPr>
                <w:rFonts w:ascii="Arial" w:eastAsia="Times New Roman" w:hAnsi="Arial" w:cs="Arial"/>
                <w:color w:val="000000"/>
              </w:rPr>
              <w:t>-Сосопственик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EE5BA7">
              <w:rPr>
                <w:rFonts w:ascii="Arial" w:eastAsia="Times New Roman" w:hAnsi="Arial" w:cs="Arial"/>
                <w:color w:val="000000"/>
              </w:rPr>
              <w:t>2/20 од ИЛ бр.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 w:rsidRPr="00EE5BA7"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ЈАШАРИ ЗЕЌИР САЛИ</w:t>
            </w:r>
            <w:r w:rsidRPr="00EE5BA7"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4613CD" w:rsidRPr="00EE5BA7" w:rsidTr="004613CD">
        <w:trPr>
          <w:trHeight w:val="26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</w:rPr>
              <w:t>-Сосопственик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EE5BA7">
              <w:rPr>
                <w:rFonts w:ascii="Arial" w:eastAsia="Times New Roman" w:hAnsi="Arial" w:cs="Arial"/>
                <w:color w:val="000000"/>
              </w:rPr>
              <w:t>2/20 од ИЛ бр.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 w:rsidRPr="00EE5BA7"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ЈАШАРИ ЗЕЌИР БЕДРИ</w:t>
            </w:r>
            <w:r w:rsidRPr="00EE5BA7"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4613CD" w:rsidRPr="00EE5BA7" w:rsidTr="004613CD">
        <w:trPr>
          <w:trHeight w:val="26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</w:rPr>
              <w:t>-Сосопственик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EE5BA7">
              <w:rPr>
                <w:rFonts w:ascii="Arial" w:eastAsia="Times New Roman" w:hAnsi="Arial" w:cs="Arial"/>
                <w:color w:val="000000"/>
              </w:rPr>
              <w:t>2/20 од ИЛ бр.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 w:rsidRPr="00EE5BA7"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ЈАШАРИ ЗЕЌИР БАСРИ</w:t>
            </w:r>
            <w:r w:rsidRPr="00EE5BA7"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4613CD" w:rsidRPr="00EE5BA7" w:rsidTr="004613CD">
        <w:trPr>
          <w:trHeight w:val="277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</w:rPr>
              <w:t>-Сосопственик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EE5BA7">
              <w:rPr>
                <w:rFonts w:ascii="Arial" w:eastAsia="Times New Roman" w:hAnsi="Arial" w:cs="Arial"/>
                <w:color w:val="000000"/>
              </w:rPr>
              <w:t>2/20 од ИЛ бр.</w:t>
            </w: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 w:rsidRPr="00EE5BA7"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3CD" w:rsidRPr="00EE5BA7" w:rsidRDefault="004613CD" w:rsidP="00461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E5BA7">
              <w:rPr>
                <w:rFonts w:ascii="Arial" w:eastAsia="Times New Roman" w:hAnsi="Arial" w:cs="Arial"/>
                <w:color w:val="000000"/>
                <w:lang w:val="en-US"/>
              </w:rPr>
              <w:t>ЈАШАРИ ВД.ЗЕЌИР ЗЕБИДЕ</w:t>
            </w:r>
            <w:r w:rsidRPr="00EE5BA7"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</w:tbl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color w:val="000000"/>
        </w:rPr>
      </w:pP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5BA7">
        <w:rPr>
          <w:rFonts w:ascii="Arial" w:hAnsi="Arial" w:cs="Arial"/>
        </w:rPr>
        <w:lastRenderedPageBreak/>
        <w:tab/>
      </w:r>
      <w:r w:rsidRPr="00EE5BA7">
        <w:rPr>
          <w:rFonts w:ascii="Arial" w:hAnsi="Arial" w:cs="Arial"/>
        </w:rPr>
        <w:tab/>
      </w:r>
      <w:r w:rsidRPr="00EE5BA7">
        <w:rPr>
          <w:rFonts w:ascii="Arial" w:hAnsi="Arial" w:cs="Arial"/>
        </w:rPr>
        <w:tab/>
      </w:r>
    </w:p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4613CD" w:rsidRPr="00EE5BA7" w:rsidRDefault="004613CD" w:rsidP="004613CD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EE5BA7">
        <w:rPr>
          <w:rFonts w:ascii="Arial" w:hAnsi="Arial" w:cs="Arial"/>
        </w:rPr>
        <w:t xml:space="preserve">                                                                                              </w:t>
      </w:r>
      <w:r w:rsidRPr="00EE5BA7">
        <w:rPr>
          <w:rFonts w:ascii="Arial" w:hAnsi="Arial" w:cs="Arial"/>
          <w:lang w:val="en-US"/>
        </w:rPr>
        <w:t xml:space="preserve">         </w:t>
      </w:r>
      <w:r w:rsidRPr="00EE5BA7">
        <w:rPr>
          <w:rFonts w:ascii="Arial" w:hAnsi="Arial" w:cs="Arial"/>
        </w:rPr>
        <w:t xml:space="preserve">  </w:t>
      </w:r>
      <w:r w:rsidRPr="00EE5BA7">
        <w:rPr>
          <w:rFonts w:ascii="Arial" w:hAnsi="Arial" w:cs="Arial"/>
          <w:lang w:val="en-US"/>
        </w:rPr>
        <w:t xml:space="preserve">       </w:t>
      </w:r>
      <w:r w:rsidRPr="00EE5BA7">
        <w:rPr>
          <w:rFonts w:ascii="Arial" w:hAnsi="Arial" w:cs="Arial"/>
        </w:rPr>
        <w:t xml:space="preserve">    </w:t>
      </w:r>
      <w:r w:rsidRPr="00EE5BA7">
        <w:rPr>
          <w:rFonts w:ascii="Arial" w:hAnsi="Arial" w:cs="Arial"/>
          <w:lang w:val="en-US"/>
        </w:rPr>
        <w:t xml:space="preserve">        </w:t>
      </w:r>
      <w:r w:rsidRPr="00EE5BA7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4613CD" w:rsidRPr="00EE5BA7" w:rsidTr="004613CD">
        <w:trPr>
          <w:trHeight w:val="851"/>
        </w:trPr>
        <w:tc>
          <w:tcPr>
            <w:tcW w:w="4021" w:type="dxa"/>
          </w:tcPr>
          <w:p w:rsidR="004613CD" w:rsidRPr="00EE5BA7" w:rsidRDefault="004613CD" w:rsidP="004613CD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EE5BA7">
              <w:rPr>
                <w:rFonts w:ascii="Arial" w:hAnsi="Arial" w:cs="Arial"/>
                <w:sz w:val="22"/>
                <w:szCs w:val="22"/>
              </w:rPr>
              <w:t xml:space="preserve">м-р </w:t>
            </w:r>
            <w:proofErr w:type="spellStart"/>
            <w:r w:rsidRPr="00EE5BA7">
              <w:rPr>
                <w:rFonts w:ascii="Arial" w:hAnsi="Arial" w:cs="Arial"/>
                <w:sz w:val="22"/>
                <w:szCs w:val="22"/>
              </w:rPr>
              <w:t>Славица</w:t>
            </w:r>
            <w:proofErr w:type="spellEnd"/>
            <w:r w:rsidRPr="00EE5B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5BA7">
              <w:rPr>
                <w:rFonts w:ascii="Arial" w:hAnsi="Arial" w:cs="Arial"/>
                <w:sz w:val="22"/>
                <w:szCs w:val="22"/>
              </w:rPr>
              <w:t>Ацовска</w:t>
            </w:r>
            <w:proofErr w:type="spellEnd"/>
            <w:r w:rsidRPr="00EE5BA7"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177.75pt;height:51pt" wrapcoords="-63 0 -63 21016 21600 21016 21600 0 -63 0" o:allowoverlap="f">
                  <v:imagedata r:id="rId32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613CD" w:rsidRPr="00EE5BA7" w:rsidRDefault="004613CD" w:rsidP="00461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BA7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4613CD" w:rsidRPr="00EE5BA7" w:rsidRDefault="004613CD" w:rsidP="004613CD">
      <w:pPr>
        <w:spacing w:after="0"/>
        <w:jc w:val="both"/>
        <w:rPr>
          <w:rFonts w:ascii="Arial" w:hAnsi="Arial" w:cs="Arial"/>
        </w:rPr>
      </w:pPr>
      <w:r w:rsidRPr="00EE5BA7">
        <w:rPr>
          <w:rFonts w:ascii="Arial" w:hAnsi="Arial" w:cs="Arial"/>
        </w:rPr>
        <w:t>Правна поука: Против овој заклучок може да се поднесе приговор до на територијата каде што ќе се спроведува извршувањето согласно одредбите на член 86 од Законот за извршување.</w:t>
      </w:r>
      <w:r w:rsidRPr="00EE5BA7">
        <w:rPr>
          <w:rFonts w:ascii="Arial" w:hAnsi="Arial" w:cs="Arial"/>
          <w:bCs/>
        </w:rPr>
        <w:t xml:space="preserve">                                    </w:t>
      </w:r>
      <w:r w:rsidRPr="00EE5BA7">
        <w:rPr>
          <w:rFonts w:ascii="Arial" w:hAnsi="Arial" w:cs="Arial"/>
          <w:bCs/>
          <w:color w:val="000080"/>
        </w:rPr>
        <w:t xml:space="preserve">                                                 </w:t>
      </w:r>
    </w:p>
    <w:p w:rsidR="004613CD" w:rsidRPr="00EE5BA7" w:rsidRDefault="004613CD" w:rsidP="004613CD">
      <w:pPr>
        <w:jc w:val="both"/>
        <w:rPr>
          <w:rFonts w:ascii="Arial" w:hAnsi="Arial" w:cs="Arial"/>
        </w:rPr>
      </w:pPr>
    </w:p>
    <w:p w:rsidR="002E6F51" w:rsidRPr="00EE5BA7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5BA7">
        <w:rPr>
          <w:rFonts w:ascii="Arial" w:hAnsi="Arial" w:cs="Arial"/>
        </w:rPr>
        <w:t xml:space="preserve">                        </w:t>
      </w:r>
    </w:p>
    <w:p w:rsidR="002E6F51" w:rsidRPr="00EE5BA7" w:rsidRDefault="002E6F51" w:rsidP="00FF28C9">
      <w:pPr>
        <w:spacing w:after="0"/>
        <w:jc w:val="both"/>
        <w:rPr>
          <w:rFonts w:ascii="Arial" w:hAnsi="Arial" w:cs="Arial"/>
        </w:rPr>
      </w:pPr>
      <w:r w:rsidRPr="00EE5BA7">
        <w:rPr>
          <w:rFonts w:ascii="Arial" w:hAnsi="Arial" w:cs="Arial"/>
        </w:rPr>
        <w:t xml:space="preserve">Правна поука: Против овој </w:t>
      </w:r>
      <w:r w:rsidR="00B23450" w:rsidRPr="00EE5BA7">
        <w:rPr>
          <w:rFonts w:ascii="Arial" w:hAnsi="Arial" w:cs="Arial"/>
        </w:rPr>
        <w:t>заклучок</w:t>
      </w:r>
      <w:r w:rsidRPr="00EE5BA7">
        <w:rPr>
          <w:rFonts w:ascii="Arial" w:hAnsi="Arial" w:cs="Arial"/>
        </w:rPr>
        <w:t xml:space="preserve"> може да се п</w:t>
      </w:r>
      <w:r w:rsidR="00B23450" w:rsidRPr="00EE5BA7">
        <w:rPr>
          <w:rFonts w:ascii="Arial" w:hAnsi="Arial" w:cs="Arial"/>
        </w:rPr>
        <w:t>однесе приговор до</w:t>
      </w:r>
      <w:r w:rsidRPr="00EE5BA7">
        <w:rPr>
          <w:rFonts w:ascii="Arial" w:hAnsi="Arial" w:cs="Arial"/>
        </w:rPr>
        <w:t xml:space="preserve"> </w:t>
      </w:r>
      <w:bookmarkStart w:id="29" w:name="OSudPouka"/>
      <w:bookmarkEnd w:id="29"/>
      <w:r w:rsidR="004613CD" w:rsidRPr="00EE5BA7">
        <w:rPr>
          <w:rFonts w:ascii="Arial" w:hAnsi="Arial" w:cs="Arial"/>
        </w:rPr>
        <w:t>на територијата каде што ќе се спроведува извршувањето</w:t>
      </w:r>
      <w:r w:rsidRPr="00EE5BA7">
        <w:rPr>
          <w:rFonts w:ascii="Arial" w:hAnsi="Arial" w:cs="Arial"/>
        </w:rPr>
        <w:t xml:space="preserve"> согласно одредбите на член 86 од Законот за извршување.</w:t>
      </w:r>
      <w:r w:rsidRPr="00EE5BA7">
        <w:rPr>
          <w:rFonts w:ascii="Arial" w:hAnsi="Arial" w:cs="Arial"/>
          <w:bCs/>
        </w:rPr>
        <w:t xml:space="preserve">                                    </w:t>
      </w:r>
      <w:r w:rsidRPr="00EE5BA7">
        <w:rPr>
          <w:rFonts w:ascii="Arial" w:hAnsi="Arial" w:cs="Arial"/>
          <w:bCs/>
          <w:color w:val="000080"/>
        </w:rPr>
        <w:t xml:space="preserve">                                                 </w:t>
      </w:r>
    </w:p>
    <w:p w:rsidR="00B51157" w:rsidRPr="00EE5BA7" w:rsidRDefault="00B51157" w:rsidP="00FF28C9">
      <w:pPr>
        <w:jc w:val="both"/>
        <w:rPr>
          <w:rFonts w:ascii="Arial" w:hAnsi="Arial" w:cs="Arial"/>
        </w:rPr>
      </w:pPr>
    </w:p>
    <w:sectPr w:rsidR="00B51157" w:rsidRPr="00EE5BA7" w:rsidSect="00594A8B">
      <w:footerReference w:type="default" r:id="rId33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CD" w:rsidRDefault="004613CD" w:rsidP="004613CD">
      <w:pPr>
        <w:spacing w:after="0" w:line="240" w:lineRule="auto"/>
      </w:pPr>
      <w:r>
        <w:separator/>
      </w:r>
    </w:p>
  </w:endnote>
  <w:endnote w:type="continuationSeparator" w:id="1">
    <w:p w:rsidR="004613CD" w:rsidRDefault="004613CD" w:rsidP="0046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CD" w:rsidRPr="004613CD" w:rsidRDefault="004613CD" w:rsidP="004613C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E5BA7">
      <w:rPr>
        <w:rFonts w:ascii="Arial" w:hAnsi="Arial" w:cs="Arial"/>
        <w:noProof/>
        <w:sz w:val="14"/>
      </w:rPr>
      <w:t>6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CD" w:rsidRDefault="004613CD" w:rsidP="004613CD">
      <w:pPr>
        <w:spacing w:after="0" w:line="240" w:lineRule="auto"/>
      </w:pPr>
      <w:r>
        <w:separator/>
      </w:r>
    </w:p>
  </w:footnote>
  <w:footnote w:type="continuationSeparator" w:id="1">
    <w:p w:rsidR="004613CD" w:rsidRDefault="004613CD" w:rsidP="0046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EFF"/>
    <w:multiLevelType w:val="hybridMultilevel"/>
    <w:tmpl w:val="97DC5840"/>
    <w:lvl w:ilvl="0" w:tplc="86AABC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E326CD"/>
    <w:multiLevelType w:val="hybridMultilevel"/>
    <w:tmpl w:val="97DC5840"/>
    <w:lvl w:ilvl="0" w:tplc="86AABC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613CD"/>
    <w:rsid w:val="004A3EE9"/>
    <w:rsid w:val="004C7DE4"/>
    <w:rsid w:val="004F2C9E"/>
    <w:rsid w:val="004F4016"/>
    <w:rsid w:val="00594A8B"/>
    <w:rsid w:val="005A3AD6"/>
    <w:rsid w:val="0061005D"/>
    <w:rsid w:val="0063405E"/>
    <w:rsid w:val="00662F1C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1017F"/>
    <w:rsid w:val="00823825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90882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55B9A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C28C6"/>
    <w:rsid w:val="00CD2871"/>
    <w:rsid w:val="00CE2401"/>
    <w:rsid w:val="00CF2E54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E5BA7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6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3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3C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613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0','')" TargetMode="External"/><Relationship Id="rId13" Type="http://schemas.openxmlformats.org/officeDocument/2006/relationships/hyperlink" Target="javascript:__doPostBack('DataGrid3$ctl02$ctl01','')" TargetMode="External"/><Relationship Id="rId18" Type="http://schemas.openxmlformats.org/officeDocument/2006/relationships/hyperlink" Target="javascript:__doPostBack('DataGrid3$ctl02$ctl00','')" TargetMode="External"/><Relationship Id="rId26" Type="http://schemas.openxmlformats.org/officeDocument/2006/relationships/hyperlink" Target="javascript:__doPostBack('DataGrid3$ctl05$ctl00',''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__doPostBack('DataGrid3$ctl03$ctl01','')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javascript:__doPostBack('DataGrid3$ctl02$ctl00','')" TargetMode="External"/><Relationship Id="rId17" Type="http://schemas.openxmlformats.org/officeDocument/2006/relationships/hyperlink" Target="javascript:__doPostBack('DataGrid3$ctl02$ctl01','')" TargetMode="External"/><Relationship Id="rId25" Type="http://schemas.openxmlformats.org/officeDocument/2006/relationships/hyperlink" Target="javascript:__doPostBack('DataGrid3$ctl04$ctl01','')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javascript:__doPostBack('DataGrid3$ctl02$ctl00','')" TargetMode="External"/><Relationship Id="rId20" Type="http://schemas.openxmlformats.org/officeDocument/2006/relationships/hyperlink" Target="javascript:__doPostBack('DataGrid3$ctl03$ctl00','')" TargetMode="External"/><Relationship Id="rId29" Type="http://schemas.openxmlformats.org/officeDocument/2006/relationships/hyperlink" Target="javascript:__doPostBack('DataGrid3$ctl06$ctl01',''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DataGrid3$ctl03$ctl01','')" TargetMode="External"/><Relationship Id="rId24" Type="http://schemas.openxmlformats.org/officeDocument/2006/relationships/hyperlink" Target="javascript:__doPostBack('DataGrid3$ctl04$ctl00','')" TargetMode="External"/><Relationship Id="rId32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javascript:__doPostBack('DataGrid3$ctl02$ctl01','')" TargetMode="External"/><Relationship Id="rId23" Type="http://schemas.openxmlformats.org/officeDocument/2006/relationships/hyperlink" Target="javascript:__doPostBack('DataGrid3$ctl02$ctl01','')" TargetMode="External"/><Relationship Id="rId28" Type="http://schemas.openxmlformats.org/officeDocument/2006/relationships/hyperlink" Target="javascript:__doPostBack('DataGrid3$ctl06$ctl00','')" TargetMode="External"/><Relationship Id="rId10" Type="http://schemas.openxmlformats.org/officeDocument/2006/relationships/hyperlink" Target="javascript:__doPostBack('DataGrid3$ctl03$ctl00','')" TargetMode="External"/><Relationship Id="rId19" Type="http://schemas.openxmlformats.org/officeDocument/2006/relationships/hyperlink" Target="javascript:__doPostBack('DataGrid3$ctl02$ctl01','')" TargetMode="External"/><Relationship Id="rId31" Type="http://schemas.openxmlformats.org/officeDocument/2006/relationships/hyperlink" Target="javascript:__doPostBack('DataGrid3$ctl02$ctl01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DataGrid3$ctl02$ctl01','')" TargetMode="External"/><Relationship Id="rId14" Type="http://schemas.openxmlformats.org/officeDocument/2006/relationships/hyperlink" Target="javascript:__doPostBack('DataGrid3$ctl02$ctl00','')" TargetMode="External"/><Relationship Id="rId22" Type="http://schemas.openxmlformats.org/officeDocument/2006/relationships/hyperlink" Target="javascript:__doPostBack('DataGrid3$ctl02$ctl00','')" TargetMode="External"/><Relationship Id="rId27" Type="http://schemas.openxmlformats.org/officeDocument/2006/relationships/hyperlink" Target="javascript:__doPostBack('DataGrid3$ctl05$ctl01','')" TargetMode="External"/><Relationship Id="rId30" Type="http://schemas.openxmlformats.org/officeDocument/2006/relationships/hyperlink" Target="javascript:__doPostBack('DataGrid3$ctl02$ctl00','')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vTrKCjkrp1Ph/y582AD0uk7C2Jk=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6tQnzl2sCAN4NJ4qzzpFRGt+c4E=</DigestValue>
    </Reference>
    <Reference URI="#idInvalidSigLnImg" Type="http://www.w3.org/2000/09/xmldsig#Object">
      <DigestMethod Algorithm="http://www.w3.org/2000/09/xmldsig#sha1"/>
      <DigestValue>midfb1PrLb4QhSEFc22HROqXEb8=</DigestValue>
    </Reference>
  </SignedInfo>
  <SignatureValue>
    d3EfSpDg6EW/l/wvKS0Igtte2D1MFMVlEv4K4454j4GWI/0C0GMWcwfQfS+MGnl4P8dQnXTR
    KWM7SmyJike75xQAIUTArv/A907q9s6Z4m3onIiVs+ArM8f68bF1Lldf2HYMuqj9GgS78LLj
    +oQpwkdX1l9BEI2bzWKTLFNBx342Cg/AQ07Wy3bjNPMCgHTfK0udgyVNpZ3tsM+0+xU6ALMz
    6Lj+TNCDH2N0yWN6F/rsmwUzdV3Z1CegPuztS7OSpBIkDftW6adQDfZ9ty/8IYbqdTLc4ou6
    uLsfn6xLkc29MMHIl+xr9p5tITjD8p3g+ZpzC1jlyZRzDsuFCET0yg==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4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oV/FltMtGlzs6+P6QN5SagltT2Y=</DigestValue>
      </Reference>
      <Reference URI="/word/document.xml?ContentType=application/vnd.openxmlformats-officedocument.wordprocessingml.document.main+xml">
        <DigestMethod Algorithm="http://www.w3.org/2000/09/xmldsig#sha1"/>
        <DigestValue>A+o/FiMNMSEw0wtg+u2AUH6nBRM=</DigestValue>
      </Reference>
      <Reference URI="/word/endnotes.xml?ContentType=application/vnd.openxmlformats-officedocument.wordprocessingml.endnotes+xml">
        <DigestMethod Algorithm="http://www.w3.org/2000/09/xmldsig#sha1"/>
        <DigestValue>QKNjMx4VJslQSZcCv3GiYzX5AdU=</DigestValue>
      </Reference>
      <Reference URI="/word/fontTable.xml?ContentType=application/vnd.openxmlformats-officedocument.wordprocessingml.fontTable+xml">
        <DigestMethod Algorithm="http://www.w3.org/2000/09/xmldsig#sha1"/>
        <DigestValue>VnndtDiCTPuQLigdk7ry3lnvsxc=</DigestValue>
      </Reference>
      <Reference URI="/word/footer1.xml?ContentType=application/vnd.openxmlformats-officedocument.wordprocessingml.footer+xml">
        <DigestMethod Algorithm="http://www.w3.org/2000/09/xmldsig#sha1"/>
        <DigestValue>x6CnurIovbTKB0f5Vfsfplob8IE=</DigestValue>
      </Reference>
      <Reference URI="/word/footnotes.xml?ContentType=application/vnd.openxmlformats-officedocument.wordprocessingml.footnotes+xml">
        <DigestMethod Algorithm="http://www.w3.org/2000/09/xmldsig#sha1"/>
        <DigestValue>7G3dC2dXhyyOvShn5az3x9fRVFU=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numbering.xml?ContentType=application/vnd.openxmlformats-officedocument.wordprocessingml.numbering+xml">
        <DigestMethod Algorithm="http://www.w3.org/2000/09/xmldsig#sha1"/>
        <DigestValue>CniFrZeJlMcn9clamYa/82KlQSI=</DigestValue>
      </Reference>
      <Reference URI="/word/settings.xml?ContentType=application/vnd.openxmlformats-officedocument.wordprocessingml.settings+xml">
        <DigestMethod Algorithm="http://www.w3.org/2000/09/xmldsig#sha1"/>
        <DigestValue>ExwqdHMrAgH9MYh+rkEovGPJIKU=</DigestValue>
      </Reference>
      <Reference URI="/word/styles.xml?ContentType=application/vnd.openxmlformats-officedocument.wordprocessingml.styles+xml">
        <DigestMethod Algorithm="http://www.w3.org/2000/09/xmldsig#sha1"/>
        <DigestValue>KPDUq9mbN1kzThK8j2gzhqloBdk=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BFewV2anBJm56lSnU9Anr05moQE=</DigestValue>
      </Reference>
    </Manifest>
    <SignatureProperties>
      <SignatureProperty Id="idSignatureTime" Target="#idPackageSignature">
        <mdssi:SignatureTime>
          <mdssi:Format>YYYY-MM-DDThh:mm:ssTZD</mdssi:Format>
          <mdssi:Value>2025-11-10T10:24:47Z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W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//////////2AAAAAxADAALgAxADE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4</cp:revision>
  <dcterms:created xsi:type="dcterms:W3CDTF">2025-11-10T10:05:00Z</dcterms:created>
  <dcterms:modified xsi:type="dcterms:W3CDTF">2025-11-10T10:24:00Z</dcterms:modified>
</cp:coreProperties>
</file>