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315D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315DD">
              <w:rPr>
                <w:rFonts w:ascii="Arial" w:eastAsia="Times New Roman" w:hAnsi="Arial" w:cs="Arial"/>
                <w:b/>
                <w:lang w:val="en-US"/>
              </w:rPr>
              <w:t>762/2022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315D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315D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315D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315DD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315DD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315DD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315D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315DD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315DD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315DD">
        <w:rPr>
          <w:rFonts w:ascii="Arial" w:hAnsi="Arial" w:cs="Arial"/>
        </w:rPr>
        <w:t>ОДУ.бр.424/2021 од 12.05.2021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315DD">
        <w:rPr>
          <w:rFonts w:ascii="Arial" w:hAnsi="Arial" w:cs="Arial"/>
        </w:rPr>
        <w:t>должниците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4315DD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4315DD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4315DD"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4315DD">
        <w:rPr>
          <w:rFonts w:ascii="Arial" w:hAnsi="Arial" w:cs="Arial"/>
        </w:rPr>
        <w:t>и Лефтер Андонов од Скопје со живеалиште на ул.Прашка бр.10-10,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5D239F">
        <w:rPr>
          <w:rFonts w:ascii="Arial" w:hAnsi="Arial" w:cs="Arial"/>
        </w:rPr>
        <w:t>парично побарување</w:t>
      </w:r>
      <w:r w:rsidR="004315DD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4315DD">
        <w:rPr>
          <w:rFonts w:ascii="Arial" w:hAnsi="Arial" w:cs="Arial"/>
        </w:rPr>
        <w:t>16.09.2025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4315DD" w:rsidRDefault="004315DD" w:rsidP="004315D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4315DD" w:rsidRDefault="004315DD" w:rsidP="004315D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ПОВТОРЕНА УСНА ЈАВНА ПРОДАЖБА</w:t>
      </w:r>
    </w:p>
    <w:p w:rsidR="004315DD" w:rsidRDefault="004315DD" w:rsidP="004315D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СЕ ОПРЕДЕЛУВА втора повторена продажба со усно јавно наддавање на недвижноста означена како: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ГЛ, број 10, намена на посебен/заеднички дел од зграда СТ, внатрешна површина од 34 м2, сопственост, КО КАРПОШ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ПП, внатрешна површина од 7 м2, сопственост, КО КАРПОШ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СТ, внатрешна површина од 107 м2, сопственост, КО КАРПОШ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ПО, број 8, намена на посебен/заеднички дел од зграда ГМЗП, отворена површина од 13 м2, сопственост, КО КАРПОШ</w:t>
      </w:r>
    </w:p>
    <w:p w:rsidR="004315DD" w:rsidRDefault="004315DD" w:rsidP="0043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бр.86580 КО КАРПОШ при АКН на РСМ – Одделение за катастар на недвижности Скопје </w:t>
      </w:r>
    </w:p>
    <w:p w:rsidR="004315DD" w:rsidRDefault="004315DD" w:rsidP="004315DD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која се наоѓа во сопственост на должникот Лефтер Андонов</w:t>
      </w:r>
      <w:r>
        <w:rPr>
          <w:rFonts w:ascii="Arial" w:eastAsia="Times New Roman" w:hAnsi="Arial" w:cs="Arial"/>
          <w:lang w:val="ru-RU"/>
        </w:rPr>
        <w:t>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07.10.2025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>Извршителот Александар Чамовски од Струмица, 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(врз основа на член 177 од ЗИ) по И.бр.762/2022 од 16.07.2024 година на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13.658.241,00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врз основа на извршна исправа ОДУ.бр.506/18 од 31.07.2018 на Нотар Златко Николовски од Скопје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по И.бр.762/2022 од 06.06.2022 година на Извршител Александар Чамовски од Струмица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-Налог за извршување кај пристапување кон извршување (врз основа на чл.169 од ЗИ) по и.бр.331/2022 од 17.06.2022 година на Извршител Александар Максимовски од Скопје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по и.бр.631/2023 од 26.02.2025 година на Извршител Васко Блажевски од Скопје.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b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hAnsi="Arial" w:cs="Arial"/>
          <w:b/>
        </w:rPr>
        <w:t>5027020507180.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315DD" w:rsidRDefault="004315DD" w:rsidP="004315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B51157" w:rsidRPr="00D37696" w:rsidRDefault="004315DD" w:rsidP="00D3769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  <w:t xml:space="preserve">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4315DD" w:rsidRDefault="004315DD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4315DD" w:rsidRDefault="00823825" w:rsidP="004315DD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DD" w:rsidRDefault="004315DD" w:rsidP="004315DD">
      <w:pPr>
        <w:spacing w:after="0" w:line="240" w:lineRule="auto"/>
      </w:pPr>
      <w:r>
        <w:separator/>
      </w:r>
    </w:p>
  </w:endnote>
  <w:endnote w:type="continuationSeparator" w:id="1">
    <w:p w:rsidR="004315DD" w:rsidRDefault="004315DD" w:rsidP="0043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D" w:rsidRPr="004315DD" w:rsidRDefault="004315DD" w:rsidP="004315D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3E5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3E5A">
      <w:rPr>
        <w:rFonts w:ascii="Arial" w:hAnsi="Arial" w:cs="Arial"/>
        <w:sz w:val="14"/>
      </w:rPr>
      <w:fldChar w:fldCharType="separate"/>
    </w:r>
    <w:r w:rsidR="00D37696">
      <w:rPr>
        <w:rFonts w:ascii="Arial" w:hAnsi="Arial" w:cs="Arial"/>
        <w:noProof/>
        <w:sz w:val="14"/>
      </w:rPr>
      <w:t>2</w:t>
    </w:r>
    <w:r w:rsidR="00533E5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DD" w:rsidRDefault="004315DD" w:rsidP="004315DD">
      <w:pPr>
        <w:spacing w:after="0" w:line="240" w:lineRule="auto"/>
      </w:pPr>
      <w:r>
        <w:separator/>
      </w:r>
    </w:p>
  </w:footnote>
  <w:footnote w:type="continuationSeparator" w:id="1">
    <w:p w:rsidR="004315DD" w:rsidRDefault="004315DD" w:rsidP="00431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C7ACC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315DD"/>
    <w:rsid w:val="00451FBC"/>
    <w:rsid w:val="0046102D"/>
    <w:rsid w:val="004F2C9E"/>
    <w:rsid w:val="004F4016"/>
    <w:rsid w:val="00533E5A"/>
    <w:rsid w:val="00587630"/>
    <w:rsid w:val="005D239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5038E"/>
    <w:rsid w:val="009626C8"/>
    <w:rsid w:val="00990882"/>
    <w:rsid w:val="00AE3FFA"/>
    <w:rsid w:val="00B004A2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37696"/>
    <w:rsid w:val="00D47D14"/>
    <w:rsid w:val="00DA5DC9"/>
    <w:rsid w:val="00DC321E"/>
    <w:rsid w:val="00DF1299"/>
    <w:rsid w:val="00E01FCA"/>
    <w:rsid w:val="00E16620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3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3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5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6</cp:revision>
  <dcterms:created xsi:type="dcterms:W3CDTF">2025-09-16T12:18:00Z</dcterms:created>
  <dcterms:modified xsi:type="dcterms:W3CDTF">2025-09-16T12:20:00Z</dcterms:modified>
</cp:coreProperties>
</file>