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823825" w:rsidRPr="001342AF" w:rsidTr="00B2273A">
        <w:tc>
          <w:tcPr>
            <w:tcW w:w="6204" w:type="dxa"/>
            <w:hideMark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  <w:r w:rsidRPr="001342A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lang w:val="ru-RU"/>
              </w:rPr>
            </w:pPr>
          </w:p>
        </w:tc>
      </w:tr>
      <w:tr w:rsidR="00823825" w:rsidRPr="001342AF" w:rsidTr="00B2273A">
        <w:tc>
          <w:tcPr>
            <w:tcW w:w="6204" w:type="dxa"/>
            <w:hideMark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1342AF">
              <w:rPr>
                <w:rFonts w:ascii="Arial" w:eastAsia="Times New Roman" w:hAnsi="Arial" w:cs="Arial"/>
                <w:b/>
                <w:sz w:val="21"/>
                <w:szCs w:val="21"/>
              </w:rPr>
              <w:t>И З В Р Ш И Т Е Л</w:t>
            </w:r>
          </w:p>
        </w:tc>
        <w:tc>
          <w:tcPr>
            <w:tcW w:w="566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1342AF" w:rsidRDefault="001342AF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1342A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  </w:t>
            </w:r>
            <w:r w:rsidR="00823825" w:rsidRPr="001342AF">
              <w:rPr>
                <w:rFonts w:ascii="Arial" w:eastAsia="Times New Roman" w:hAnsi="Arial" w:cs="Arial"/>
                <w:b/>
                <w:sz w:val="21"/>
                <w:szCs w:val="21"/>
              </w:rPr>
              <w:t>Образец бр.</w:t>
            </w:r>
            <w:r w:rsidR="008C43A1"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66</w:t>
            </w:r>
          </w:p>
        </w:tc>
      </w:tr>
      <w:tr w:rsidR="00823825" w:rsidRPr="001342AF" w:rsidTr="00B2273A">
        <w:tc>
          <w:tcPr>
            <w:tcW w:w="6204" w:type="dxa"/>
            <w:hideMark/>
          </w:tcPr>
          <w:p w:rsidR="00823825" w:rsidRPr="001342AF" w:rsidRDefault="00B2273A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0" w:name="Ime"/>
            <w:bookmarkEnd w:id="0"/>
            <w:proofErr w:type="spellStart"/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Зорица</w:t>
            </w:r>
            <w:proofErr w:type="spellEnd"/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1342AF" w:rsidTr="00B2273A">
        <w:tc>
          <w:tcPr>
            <w:tcW w:w="6204" w:type="dxa"/>
            <w:hideMark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1342AF">
              <w:rPr>
                <w:rFonts w:ascii="Arial" w:eastAsia="Times New Roman" w:hAnsi="Arial" w:cs="Arial"/>
                <w:b/>
                <w:sz w:val="21"/>
                <w:szCs w:val="21"/>
              </w:rPr>
              <w:t>именуван за подрачјето</w:t>
            </w:r>
            <w:r w:rsidR="003B0CFE" w:rsidRPr="001342AF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на</w:t>
            </w:r>
          </w:p>
        </w:tc>
        <w:tc>
          <w:tcPr>
            <w:tcW w:w="566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1342AF" w:rsidRDefault="003B0CFE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1342AF">
              <w:rPr>
                <w:rFonts w:ascii="Arial" w:eastAsia="Times New Roman" w:hAnsi="Arial" w:cs="Arial"/>
                <w:b/>
                <w:color w:val="000000"/>
                <w:sz w:val="21"/>
                <w:szCs w:val="21"/>
              </w:rPr>
              <w:t xml:space="preserve">            И.бр</w:t>
            </w:r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. </w:t>
            </w:r>
            <w:bookmarkStart w:id="1" w:name="Ibr"/>
            <w:bookmarkEnd w:id="1"/>
            <w:r w:rsidR="00B2273A"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1673/2023</w:t>
            </w:r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</w:t>
            </w:r>
          </w:p>
        </w:tc>
      </w:tr>
      <w:tr w:rsidR="00823825" w:rsidRPr="001342AF" w:rsidTr="00B2273A">
        <w:tc>
          <w:tcPr>
            <w:tcW w:w="6204" w:type="dxa"/>
            <w:hideMark/>
          </w:tcPr>
          <w:p w:rsidR="00B2273A" w:rsidRPr="001342AF" w:rsidRDefault="00B2273A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bookmarkStart w:id="2" w:name="OPodracjeSud"/>
            <w:bookmarkEnd w:id="2"/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 xml:space="preserve">Основен Граѓански Суд Скопје и </w:t>
            </w:r>
          </w:p>
          <w:p w:rsidR="00823825" w:rsidRPr="001342AF" w:rsidRDefault="00B2273A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1342AF" w:rsidTr="00B2273A">
        <w:tc>
          <w:tcPr>
            <w:tcW w:w="6204" w:type="dxa"/>
            <w:hideMark/>
          </w:tcPr>
          <w:p w:rsidR="00823825" w:rsidRPr="001342AF" w:rsidRDefault="00B2273A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3" w:name="OAdresaIzv"/>
            <w:bookmarkEnd w:id="3"/>
            <w:proofErr w:type="spellStart"/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ул.Пролет</w:t>
            </w:r>
            <w:proofErr w:type="spellEnd"/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  <w:tr w:rsidR="00823825" w:rsidRPr="001342AF" w:rsidTr="00B2273A">
        <w:tc>
          <w:tcPr>
            <w:tcW w:w="6204" w:type="dxa"/>
            <w:hideMark/>
          </w:tcPr>
          <w:p w:rsidR="00B2273A" w:rsidRPr="001342AF" w:rsidRDefault="00B2273A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тел</w:t>
            </w:r>
            <w:proofErr w:type="spellEnd"/>
            <w:proofErr w:type="gramEnd"/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. 02/3222-532;</w:t>
            </w:r>
          </w:p>
          <w:p w:rsidR="00823825" w:rsidRPr="001342AF" w:rsidRDefault="00B2273A" w:rsidP="00B2273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</w:pPr>
            <w:r w:rsidRPr="001342AF">
              <w:rPr>
                <w:rFonts w:ascii="Arial" w:eastAsia="Times New Roman" w:hAnsi="Arial" w:cs="Arial"/>
                <w:b/>
                <w:sz w:val="21"/>
                <w:szCs w:val="21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993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  <w:tc>
          <w:tcPr>
            <w:tcW w:w="2977" w:type="dxa"/>
          </w:tcPr>
          <w:p w:rsidR="00823825" w:rsidRPr="001342AF" w:rsidRDefault="00823825" w:rsidP="00B2273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szCs w:val="21"/>
                <w:lang w:val="ru-RU"/>
              </w:rPr>
            </w:pPr>
          </w:p>
        </w:tc>
      </w:tr>
    </w:tbl>
    <w:p w:rsidR="00823825" w:rsidRPr="001342AF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1"/>
          <w:szCs w:val="21"/>
        </w:rPr>
      </w:pPr>
      <w:r w:rsidRPr="001342AF">
        <w:rPr>
          <w:rFonts w:ascii="Arial" w:hAnsi="Arial" w:cs="Arial"/>
          <w:b/>
          <w:bCs/>
          <w:color w:val="000080"/>
          <w:sz w:val="21"/>
          <w:szCs w:val="21"/>
        </w:rPr>
        <w:t xml:space="preserve">                                 </w:t>
      </w:r>
      <w:r w:rsidRPr="001342AF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1342AF">
        <w:rPr>
          <w:rFonts w:ascii="Arial" w:hAnsi="Arial" w:cs="Arial"/>
          <w:b/>
          <w:bCs/>
          <w:color w:val="000080"/>
          <w:sz w:val="21"/>
          <w:szCs w:val="21"/>
        </w:rPr>
        <w:tab/>
      </w:r>
      <w:r w:rsidRPr="001342AF">
        <w:rPr>
          <w:rFonts w:ascii="Arial" w:hAnsi="Arial" w:cs="Arial"/>
          <w:b/>
          <w:bCs/>
          <w:color w:val="000080"/>
          <w:sz w:val="21"/>
          <w:szCs w:val="21"/>
        </w:rPr>
        <w:tab/>
        <w:t xml:space="preserve">   </w:t>
      </w:r>
    </w:p>
    <w:p w:rsidR="00823825" w:rsidRPr="001342AF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  <w:lang w:val="en-US"/>
        </w:rPr>
      </w:pPr>
    </w:p>
    <w:p w:rsidR="00B2273A" w:rsidRPr="001342AF" w:rsidRDefault="00B2273A" w:rsidP="00B227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Извршителот Зорица Симиќ од Скопје како избран извршител согласно чл.74 ст.3 од ЗИ, кој ќе продолжи да постапува по извршниот предмет И.бр.3749/22 заведен кај Извршител Снежана Андреевска, </w:t>
      </w:r>
      <w:r w:rsidRPr="001342AF">
        <w:rPr>
          <w:rFonts w:ascii="Arial" w:hAnsi="Arial" w:cs="Arial"/>
          <w:sz w:val="21"/>
          <w:szCs w:val="21"/>
          <w:lang w:val="en-US"/>
        </w:rPr>
        <w:t>a</w:t>
      </w:r>
      <w:r w:rsidRPr="001342AF">
        <w:rPr>
          <w:rFonts w:ascii="Arial" w:hAnsi="Arial" w:cs="Arial"/>
          <w:sz w:val="21"/>
          <w:szCs w:val="21"/>
        </w:rPr>
        <w:t xml:space="preserve"> врз основа на барањето за спроведување на извршување од </w:t>
      </w:r>
      <w:bookmarkStart w:id="5" w:name="Doveritel1"/>
      <w:bookmarkEnd w:id="5"/>
      <w:r w:rsidRPr="001342AF">
        <w:rPr>
          <w:rFonts w:ascii="Arial" w:hAnsi="Arial" w:cs="Arial"/>
          <w:sz w:val="21"/>
          <w:szCs w:val="21"/>
        </w:rPr>
        <w:t xml:space="preserve">доверителот САВА Осигурување АД Скопје од </w:t>
      </w:r>
      <w:bookmarkStart w:id="6" w:name="DovGrad1"/>
      <w:bookmarkEnd w:id="6"/>
      <w:r w:rsidRPr="001342AF">
        <w:rPr>
          <w:rFonts w:ascii="Arial" w:hAnsi="Arial" w:cs="Arial"/>
          <w:sz w:val="21"/>
          <w:szCs w:val="21"/>
        </w:rPr>
        <w:t>Скопје</w:t>
      </w:r>
      <w:r w:rsidRPr="001342AF">
        <w:rPr>
          <w:rFonts w:ascii="Arial" w:hAnsi="Arial" w:cs="Arial"/>
          <w:sz w:val="21"/>
          <w:szCs w:val="21"/>
          <w:lang w:val="ru-RU"/>
        </w:rPr>
        <w:t xml:space="preserve"> </w:t>
      </w:r>
      <w:r w:rsidRPr="001342AF">
        <w:rPr>
          <w:rFonts w:ascii="Arial" w:hAnsi="Arial" w:cs="Arial"/>
          <w:sz w:val="21"/>
          <w:szCs w:val="21"/>
        </w:rPr>
        <w:t xml:space="preserve">со </w:t>
      </w:r>
      <w:bookmarkStart w:id="7" w:name="opis_edb1"/>
      <w:bookmarkEnd w:id="7"/>
      <w:r w:rsidRPr="001342AF">
        <w:rPr>
          <w:rFonts w:ascii="Arial" w:hAnsi="Arial" w:cs="Arial"/>
          <w:sz w:val="21"/>
          <w:szCs w:val="21"/>
        </w:rPr>
        <w:t xml:space="preserve">ЕДБ 4030994256042, ЕМБС 4778529 </w:t>
      </w:r>
      <w:bookmarkStart w:id="8" w:name="edb1"/>
      <w:bookmarkStart w:id="9" w:name="opis_sed1"/>
      <w:bookmarkEnd w:id="8"/>
      <w:bookmarkEnd w:id="9"/>
      <w:r w:rsidRPr="001342AF">
        <w:rPr>
          <w:rFonts w:ascii="Arial" w:hAnsi="Arial" w:cs="Arial"/>
          <w:sz w:val="21"/>
          <w:szCs w:val="21"/>
        </w:rPr>
        <w:t xml:space="preserve">и седиште на </w:t>
      </w:r>
      <w:bookmarkStart w:id="10" w:name="adresa1"/>
      <w:bookmarkEnd w:id="10"/>
      <w:r w:rsidR="001342AF" w:rsidRPr="001342AF">
        <w:rPr>
          <w:rFonts w:ascii="Arial" w:hAnsi="Arial" w:cs="Arial"/>
          <w:sz w:val="21"/>
          <w:szCs w:val="21"/>
        </w:rPr>
        <w:t>ул.Загребска бр.28А, преку полномошник Адвокат</w:t>
      </w:r>
      <w:r w:rsidRPr="001342AF">
        <w:rPr>
          <w:rFonts w:ascii="Arial" w:hAnsi="Arial" w:cs="Arial"/>
          <w:sz w:val="21"/>
          <w:szCs w:val="21"/>
        </w:rPr>
        <w:t xml:space="preserve"> Јанаки Митровски</w:t>
      </w:r>
      <w:r w:rsidRPr="001342AF">
        <w:rPr>
          <w:rFonts w:ascii="Arial" w:hAnsi="Arial" w:cs="Arial"/>
          <w:sz w:val="21"/>
          <w:szCs w:val="21"/>
          <w:lang w:val="ru-RU"/>
        </w:rPr>
        <w:t>,</w:t>
      </w:r>
      <w:r w:rsidRPr="001342AF">
        <w:rPr>
          <w:rFonts w:ascii="Arial" w:hAnsi="Arial" w:cs="Arial"/>
          <w:sz w:val="21"/>
          <w:szCs w:val="21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1342AF">
        <w:rPr>
          <w:rFonts w:ascii="Arial" w:hAnsi="Arial" w:cs="Arial"/>
          <w:sz w:val="21"/>
          <w:szCs w:val="21"/>
        </w:rPr>
        <w:t>засновано на извршната исправа</w:t>
      </w:r>
      <w:r w:rsidRPr="001342AF">
        <w:rPr>
          <w:rFonts w:ascii="Arial" w:hAnsi="Arial" w:cs="Arial"/>
          <w:sz w:val="21"/>
          <w:szCs w:val="21"/>
          <w:lang w:val="en-US"/>
        </w:rPr>
        <w:t xml:space="preserve"> </w:t>
      </w:r>
      <w:r w:rsidRPr="001342AF">
        <w:rPr>
          <w:rFonts w:ascii="Arial" w:hAnsi="Arial" w:cs="Arial"/>
          <w:sz w:val="21"/>
          <w:szCs w:val="21"/>
        </w:rPr>
        <w:t xml:space="preserve">Пресуда </w:t>
      </w:r>
      <w:bookmarkStart w:id="15" w:name="IzvIsprava"/>
      <w:bookmarkEnd w:id="15"/>
      <w:r w:rsidRPr="001342AF">
        <w:rPr>
          <w:rFonts w:ascii="Arial" w:hAnsi="Arial" w:cs="Arial"/>
          <w:sz w:val="21"/>
          <w:szCs w:val="21"/>
        </w:rPr>
        <w:t xml:space="preserve">XIX Р4-101/19 од 12.07.2019 година на Основен Граѓански суд Скопје, против </w:t>
      </w:r>
      <w:bookmarkStart w:id="16" w:name="Dolznik1"/>
      <w:bookmarkEnd w:id="16"/>
      <w:r w:rsidRPr="001342AF">
        <w:rPr>
          <w:rFonts w:ascii="Arial" w:hAnsi="Arial" w:cs="Arial"/>
          <w:sz w:val="21"/>
          <w:szCs w:val="21"/>
        </w:rPr>
        <w:t xml:space="preserve">должникот </w:t>
      </w:r>
      <w:proofErr w:type="spellStart"/>
      <w:r w:rsidRPr="001342AF">
        <w:rPr>
          <w:rFonts w:ascii="Arial" w:hAnsi="Arial" w:cs="Arial"/>
          <w:bCs/>
          <w:color w:val="000000"/>
          <w:sz w:val="21"/>
          <w:szCs w:val="21"/>
          <w:lang w:val="en-US"/>
        </w:rPr>
        <w:t>Ѓорѓи</w:t>
      </w:r>
      <w:proofErr w:type="spellEnd"/>
      <w:r w:rsidRPr="001342AF">
        <w:rPr>
          <w:rFonts w:ascii="Arial" w:hAnsi="Arial" w:cs="Arial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1342AF">
        <w:rPr>
          <w:rFonts w:ascii="Arial" w:hAnsi="Arial" w:cs="Arial"/>
          <w:bCs/>
          <w:color w:val="000000"/>
          <w:sz w:val="21"/>
          <w:szCs w:val="21"/>
          <w:lang w:val="en-US"/>
        </w:rPr>
        <w:t>Ѓорѓиев</w:t>
      </w:r>
      <w:proofErr w:type="spellEnd"/>
      <w:r w:rsidRPr="001342AF">
        <w:rPr>
          <w:rFonts w:ascii="Arial" w:hAnsi="Arial" w:cs="Arial"/>
          <w:sz w:val="21"/>
          <w:szCs w:val="21"/>
        </w:rPr>
        <w:t xml:space="preserve"> од </w:t>
      </w:r>
      <w:proofErr w:type="spellStart"/>
      <w:r w:rsidRPr="001342AF">
        <w:rPr>
          <w:rFonts w:ascii="Arial" w:hAnsi="Arial" w:cs="Arial"/>
          <w:color w:val="000000"/>
          <w:sz w:val="21"/>
          <w:szCs w:val="21"/>
          <w:lang w:val="en-US"/>
        </w:rPr>
        <w:t>Скопје</w:t>
      </w:r>
      <w:proofErr w:type="spellEnd"/>
      <w:r w:rsidRPr="001342AF">
        <w:rPr>
          <w:rFonts w:ascii="Arial" w:hAnsi="Arial" w:cs="Arial"/>
          <w:sz w:val="21"/>
          <w:szCs w:val="21"/>
        </w:rPr>
        <w:t xml:space="preserve"> (согласно информација од МВР</w:t>
      </w:r>
      <w:r w:rsidR="001342AF">
        <w:rPr>
          <w:rFonts w:ascii="Arial" w:hAnsi="Arial" w:cs="Arial"/>
          <w:sz w:val="21"/>
          <w:szCs w:val="21"/>
        </w:rPr>
        <w:t xml:space="preserve"> </w:t>
      </w:r>
      <w:r w:rsidRPr="001342AF">
        <w:rPr>
          <w:rFonts w:ascii="Arial" w:hAnsi="Arial" w:cs="Arial"/>
          <w:sz w:val="21"/>
          <w:szCs w:val="21"/>
        </w:rPr>
        <w:t>-</w:t>
      </w:r>
      <w:r w:rsidR="001342AF">
        <w:rPr>
          <w:rFonts w:ascii="Arial" w:hAnsi="Arial" w:cs="Arial"/>
          <w:sz w:val="21"/>
          <w:szCs w:val="21"/>
        </w:rPr>
        <w:t xml:space="preserve"> </w:t>
      </w:r>
      <w:r w:rsidRPr="001342AF">
        <w:rPr>
          <w:rFonts w:ascii="Arial" w:hAnsi="Arial" w:cs="Arial"/>
          <w:sz w:val="21"/>
          <w:szCs w:val="21"/>
        </w:rPr>
        <w:t xml:space="preserve">Ѓеорѓи Ѓеорѓиев со живеалиште на ул.Бутелска бр.73В), за спроведување на извршување, во вредност </w:t>
      </w:r>
      <w:bookmarkStart w:id="17" w:name="VredPredmet"/>
      <w:bookmarkEnd w:id="17"/>
      <w:r w:rsidRPr="001342AF">
        <w:rPr>
          <w:rFonts w:ascii="Arial" w:hAnsi="Arial" w:cs="Arial"/>
          <w:sz w:val="21"/>
          <w:szCs w:val="21"/>
        </w:rPr>
        <w:t xml:space="preserve">2.550.791,00 денари, на ден </w:t>
      </w:r>
      <w:bookmarkStart w:id="18" w:name="DatumIzdava"/>
      <w:bookmarkEnd w:id="18"/>
      <w:r w:rsidRPr="001342AF">
        <w:rPr>
          <w:rFonts w:ascii="Arial" w:hAnsi="Arial" w:cs="Arial"/>
          <w:sz w:val="21"/>
          <w:szCs w:val="21"/>
        </w:rPr>
        <w:t>1</w:t>
      </w:r>
      <w:r w:rsidR="001342AF" w:rsidRPr="001342AF">
        <w:rPr>
          <w:rFonts w:ascii="Arial" w:hAnsi="Arial" w:cs="Arial"/>
          <w:sz w:val="21"/>
          <w:szCs w:val="21"/>
        </w:rPr>
        <w:t>5</w:t>
      </w:r>
      <w:r w:rsidRPr="001342AF">
        <w:rPr>
          <w:rFonts w:ascii="Arial" w:hAnsi="Arial" w:cs="Arial"/>
          <w:sz w:val="21"/>
          <w:szCs w:val="21"/>
        </w:rPr>
        <w:t>.09.2025 година го донесува следниот:</w:t>
      </w:r>
    </w:p>
    <w:p w:rsidR="00B2273A" w:rsidRPr="001342AF" w:rsidRDefault="00B2273A" w:rsidP="00B22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                          </w:t>
      </w:r>
    </w:p>
    <w:p w:rsidR="00B2273A" w:rsidRPr="001342AF" w:rsidRDefault="00B2273A" w:rsidP="001342AF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1342AF">
        <w:rPr>
          <w:rFonts w:ascii="Arial" w:hAnsi="Arial" w:cs="Arial"/>
          <w:b/>
          <w:sz w:val="21"/>
          <w:szCs w:val="21"/>
        </w:rPr>
        <w:t>З А К Л У Ч О К</w:t>
      </w:r>
    </w:p>
    <w:p w:rsidR="00B2273A" w:rsidRPr="001342AF" w:rsidRDefault="00B2273A" w:rsidP="001342AF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1342AF">
        <w:rPr>
          <w:rFonts w:ascii="Arial" w:hAnsi="Arial" w:cs="Arial"/>
          <w:b/>
          <w:sz w:val="21"/>
          <w:szCs w:val="21"/>
        </w:rPr>
        <w:t>ЗА ВТОРА УСНА ЈАВНА ПРОДАЖБА</w:t>
      </w:r>
    </w:p>
    <w:p w:rsidR="00B2273A" w:rsidRPr="001342AF" w:rsidRDefault="00B2273A" w:rsidP="001342AF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1342AF">
        <w:rPr>
          <w:rFonts w:ascii="Arial" w:hAnsi="Arial" w:cs="Arial"/>
          <w:b/>
          <w:sz w:val="21"/>
          <w:szCs w:val="21"/>
        </w:rPr>
        <w:t xml:space="preserve">(врз основа на членовите 179 став (1), 181 став (1) и 182 став (1) од </w:t>
      </w:r>
      <w:r w:rsidRPr="001342AF">
        <w:rPr>
          <w:rFonts w:ascii="Arial" w:hAnsi="Arial" w:cs="Arial"/>
          <w:b/>
          <w:bCs/>
          <w:sz w:val="21"/>
          <w:szCs w:val="21"/>
        </w:rPr>
        <w:t>Законот за извршување</w:t>
      </w:r>
      <w:r w:rsidRPr="001342AF">
        <w:rPr>
          <w:rFonts w:ascii="Arial" w:hAnsi="Arial" w:cs="Arial"/>
          <w:b/>
          <w:sz w:val="21"/>
          <w:szCs w:val="21"/>
        </w:rPr>
        <w:t>)</w:t>
      </w:r>
    </w:p>
    <w:p w:rsidR="00B2273A" w:rsidRPr="001342AF" w:rsidRDefault="00B2273A" w:rsidP="00B22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B2273A" w:rsidRPr="001342AF" w:rsidRDefault="00B2273A" w:rsidP="00B227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</w:t>
      </w:r>
    </w:p>
    <w:p w:rsidR="00B2273A" w:rsidRPr="001342AF" w:rsidRDefault="00B2273A" w:rsidP="00B2273A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>СЕ ОПРЕДЕЛУВА ВТОРА продажба со усно јавно наддавање на недвижноста означена како:</w:t>
      </w:r>
    </w:p>
    <w:p w:rsidR="00B2273A" w:rsidRPr="001342AF" w:rsidRDefault="00B2273A" w:rsidP="00B227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1342AF">
        <w:rPr>
          <w:rFonts w:ascii="Arial" w:hAnsi="Arial" w:cs="Arial"/>
          <w:bCs/>
          <w:sz w:val="21"/>
          <w:szCs w:val="21"/>
        </w:rPr>
        <w:t xml:space="preserve">- КП 2 дел </w:t>
      </w:r>
      <w:r w:rsidRPr="001342AF">
        <w:rPr>
          <w:rFonts w:ascii="Arial" w:hAnsi="Arial" w:cs="Arial"/>
          <w:bCs/>
          <w:sz w:val="21"/>
          <w:szCs w:val="21"/>
          <w:lang w:val="en-US"/>
        </w:rPr>
        <w:t>2</w:t>
      </w:r>
      <w:r w:rsidRPr="001342AF">
        <w:rPr>
          <w:rFonts w:ascii="Arial" w:hAnsi="Arial" w:cs="Arial"/>
          <w:bCs/>
          <w:sz w:val="21"/>
          <w:szCs w:val="21"/>
        </w:rPr>
        <w:t>, адреса (улица и куќен број на зграда) ПОНИКВА, бр.на зграда 13, намена на зграда А4-3, влез 1, кат ПР, број 1, намена на посебен/заеднички дел СТ-стан, внатрешна површина од 39 м2,</w:t>
      </w:r>
    </w:p>
    <w:p w:rsidR="00B2273A" w:rsidRPr="001342AF" w:rsidRDefault="00B2273A" w:rsidP="00B227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1342AF">
        <w:rPr>
          <w:rFonts w:ascii="Arial" w:hAnsi="Arial" w:cs="Arial"/>
          <w:bCs/>
          <w:sz w:val="21"/>
          <w:szCs w:val="21"/>
        </w:rPr>
        <w:t xml:space="preserve"> - КП 2 дел 2, адреса (улица и куќен број на зграда) ПОНИКВА, бр.на зграда 13, намена на зграда А4-3, влез 2, кат К1, број 2, намена на посебен/заеднички дел СТ-стан, внатрешна површина од 40 м2,</w:t>
      </w:r>
    </w:p>
    <w:p w:rsidR="00B2273A" w:rsidRPr="001342AF" w:rsidRDefault="00B2273A" w:rsidP="00B2273A">
      <w:pPr>
        <w:spacing w:after="0" w:line="240" w:lineRule="auto"/>
        <w:jc w:val="both"/>
        <w:rPr>
          <w:rFonts w:ascii="Arial" w:hAnsi="Arial" w:cs="Arial"/>
          <w:bCs/>
          <w:sz w:val="21"/>
          <w:szCs w:val="21"/>
        </w:rPr>
      </w:pPr>
      <w:r w:rsidRPr="001342AF">
        <w:rPr>
          <w:rFonts w:ascii="Arial" w:hAnsi="Arial" w:cs="Arial"/>
          <w:bCs/>
          <w:sz w:val="21"/>
          <w:szCs w:val="21"/>
        </w:rPr>
        <w:t xml:space="preserve">- КП 2 дел 2, адреса (улица и куќен број на зграда) ПОНИКВА, бр.на зграда 13, намена на зграда А4-3, влез 2, кат К1, број 2, намена на посебен/заеднички дел ПП – помошни површини (тераса, лоѓија, балкон), внатрешна површина од 5 м2, запишана во имотен лист бр.381 КО Јастребник при АКН – Одделение за катастар на недвижности Кочани, со право на сопственост на должникот Ѓеорги Ѓеоргиев (по барање за извршување и извршна исправа </w:t>
      </w:r>
      <w:proofErr w:type="spellStart"/>
      <w:r w:rsidRPr="001342AF">
        <w:rPr>
          <w:rFonts w:ascii="Arial" w:hAnsi="Arial" w:cs="Arial"/>
          <w:bCs/>
          <w:sz w:val="21"/>
          <w:szCs w:val="21"/>
          <w:lang w:val="en-US"/>
        </w:rPr>
        <w:t>Ѓорѓи</w:t>
      </w:r>
      <w:proofErr w:type="spellEnd"/>
      <w:r w:rsidRPr="001342AF">
        <w:rPr>
          <w:rFonts w:ascii="Arial" w:hAnsi="Arial" w:cs="Arial"/>
          <w:bCs/>
          <w:sz w:val="21"/>
          <w:szCs w:val="21"/>
          <w:lang w:val="en-US"/>
        </w:rPr>
        <w:t xml:space="preserve"> </w:t>
      </w:r>
      <w:proofErr w:type="spellStart"/>
      <w:r w:rsidRPr="001342AF">
        <w:rPr>
          <w:rFonts w:ascii="Arial" w:hAnsi="Arial" w:cs="Arial"/>
          <w:bCs/>
          <w:sz w:val="21"/>
          <w:szCs w:val="21"/>
          <w:lang w:val="en-US"/>
        </w:rPr>
        <w:t>Ѓорѓиев</w:t>
      </w:r>
      <w:proofErr w:type="spellEnd"/>
      <w:r w:rsidRPr="001342AF">
        <w:rPr>
          <w:rFonts w:ascii="Arial" w:hAnsi="Arial" w:cs="Arial"/>
          <w:bCs/>
          <w:sz w:val="21"/>
          <w:szCs w:val="21"/>
        </w:rPr>
        <w:t>).</w:t>
      </w:r>
    </w:p>
    <w:p w:rsidR="00B2273A" w:rsidRPr="001342AF" w:rsidRDefault="00B2273A" w:rsidP="00B2273A">
      <w:pPr>
        <w:spacing w:after="0" w:line="24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B2273A" w:rsidRPr="001342AF" w:rsidRDefault="00B2273A" w:rsidP="00B227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1342AF">
        <w:rPr>
          <w:rFonts w:ascii="Arial" w:hAnsi="Arial" w:cs="Arial"/>
          <w:sz w:val="21"/>
          <w:szCs w:val="21"/>
        </w:rPr>
        <w:t xml:space="preserve">Продажбата ќе се одржи на </w:t>
      </w:r>
      <w:r w:rsidRPr="001342AF">
        <w:rPr>
          <w:rFonts w:ascii="Arial" w:hAnsi="Arial" w:cs="Arial"/>
          <w:color w:val="000000" w:themeColor="text1"/>
          <w:sz w:val="21"/>
          <w:szCs w:val="21"/>
        </w:rPr>
        <w:t>ден 0</w:t>
      </w:r>
      <w:r w:rsidR="001342AF">
        <w:rPr>
          <w:rFonts w:ascii="Arial" w:hAnsi="Arial" w:cs="Arial"/>
          <w:color w:val="000000" w:themeColor="text1"/>
          <w:sz w:val="21"/>
          <w:szCs w:val="21"/>
        </w:rPr>
        <w:t>8</w:t>
      </w:r>
      <w:r w:rsidRPr="001342AF">
        <w:rPr>
          <w:rFonts w:ascii="Arial" w:hAnsi="Arial" w:cs="Arial"/>
          <w:color w:val="000000" w:themeColor="text1"/>
          <w:sz w:val="21"/>
          <w:szCs w:val="21"/>
          <w:lang w:val="en-US"/>
        </w:rPr>
        <w:t>.</w:t>
      </w:r>
      <w:r w:rsidRPr="001342AF">
        <w:rPr>
          <w:rFonts w:ascii="Arial" w:hAnsi="Arial" w:cs="Arial"/>
          <w:color w:val="000000" w:themeColor="text1"/>
          <w:sz w:val="21"/>
          <w:szCs w:val="21"/>
        </w:rPr>
        <w:t>1</w:t>
      </w:r>
      <w:r w:rsidRPr="001342AF">
        <w:rPr>
          <w:rFonts w:ascii="Arial" w:hAnsi="Arial" w:cs="Arial"/>
          <w:color w:val="000000" w:themeColor="text1"/>
          <w:sz w:val="21"/>
          <w:szCs w:val="21"/>
          <w:lang w:val="en-US"/>
        </w:rPr>
        <w:t>0.2025</w:t>
      </w:r>
      <w:r w:rsidRPr="001342AF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 </w:t>
      </w:r>
      <w:r w:rsidRPr="001342AF">
        <w:rPr>
          <w:rFonts w:ascii="Arial" w:hAnsi="Arial" w:cs="Arial"/>
          <w:color w:val="000000" w:themeColor="text1"/>
          <w:sz w:val="21"/>
          <w:szCs w:val="21"/>
        </w:rPr>
        <w:t xml:space="preserve">година во </w:t>
      </w:r>
      <w:r w:rsidRPr="001342AF">
        <w:rPr>
          <w:rFonts w:ascii="Arial" w:hAnsi="Arial" w:cs="Arial"/>
          <w:color w:val="000000" w:themeColor="text1"/>
          <w:sz w:val="21"/>
          <w:szCs w:val="21"/>
          <w:lang w:val="ru-RU"/>
        </w:rPr>
        <w:t>1</w:t>
      </w:r>
      <w:r w:rsidR="001342AF">
        <w:rPr>
          <w:rFonts w:ascii="Arial" w:hAnsi="Arial" w:cs="Arial"/>
          <w:color w:val="000000" w:themeColor="text1"/>
          <w:sz w:val="21"/>
          <w:szCs w:val="21"/>
          <w:lang w:val="ru-RU"/>
        </w:rPr>
        <w:t>2</w:t>
      </w:r>
      <w:r w:rsidRPr="001342AF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:00 </w:t>
      </w:r>
      <w:r w:rsidRPr="001342AF">
        <w:rPr>
          <w:rFonts w:ascii="Arial" w:hAnsi="Arial" w:cs="Arial"/>
          <w:color w:val="000000" w:themeColor="text1"/>
          <w:sz w:val="21"/>
          <w:szCs w:val="21"/>
        </w:rPr>
        <w:t xml:space="preserve">часот во просториите на </w:t>
      </w:r>
      <w:r w:rsidRPr="001342AF">
        <w:rPr>
          <w:rFonts w:ascii="Arial" w:hAnsi="Arial" w:cs="Arial"/>
          <w:color w:val="000000" w:themeColor="text1"/>
          <w:sz w:val="21"/>
          <w:szCs w:val="21"/>
          <w:lang w:val="ru-RU"/>
        </w:rPr>
        <w:t xml:space="preserve">Извршителот </w:t>
      </w:r>
      <w:r w:rsidRPr="001342AF">
        <w:rPr>
          <w:rFonts w:ascii="Arial" w:hAnsi="Arial" w:cs="Arial"/>
          <w:noProof/>
          <w:color w:val="000000" w:themeColor="text1"/>
          <w:sz w:val="21"/>
          <w:szCs w:val="21"/>
        </w:rPr>
        <w:t xml:space="preserve">Зорица Симиќ од Скопје </w:t>
      </w:r>
      <w:r w:rsidRPr="001342AF">
        <w:rPr>
          <w:rFonts w:ascii="Arial" w:hAnsi="Arial" w:cs="Arial"/>
          <w:color w:val="000000" w:themeColor="text1"/>
          <w:sz w:val="21"/>
          <w:szCs w:val="21"/>
          <w:lang w:val="ru-RU"/>
        </w:rPr>
        <w:t>на адреса ул.Пролет бр.11А/1-5.</w:t>
      </w:r>
      <w:r w:rsidRPr="001342AF">
        <w:rPr>
          <w:rFonts w:ascii="Arial" w:hAnsi="Arial" w:cs="Arial"/>
          <w:sz w:val="21"/>
          <w:szCs w:val="21"/>
          <w:lang w:val="ru-RU"/>
        </w:rPr>
        <w:t xml:space="preserve"> </w:t>
      </w:r>
    </w:p>
    <w:p w:rsidR="00B2273A" w:rsidRPr="001342AF" w:rsidRDefault="00B2273A" w:rsidP="00B227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>Почетната вредност на недвижност</w:t>
      </w:r>
      <w:r w:rsidRPr="001342AF">
        <w:rPr>
          <w:rFonts w:ascii="Arial" w:hAnsi="Arial" w:cs="Arial"/>
          <w:sz w:val="21"/>
          <w:szCs w:val="21"/>
          <w:lang w:val="en-US"/>
        </w:rPr>
        <w:t>a</w:t>
      </w:r>
      <w:r w:rsidRPr="001342AF">
        <w:rPr>
          <w:rFonts w:ascii="Arial" w:hAnsi="Arial" w:cs="Arial"/>
          <w:sz w:val="21"/>
          <w:szCs w:val="21"/>
        </w:rPr>
        <w:t>, утврдена со заклучок И.бр.</w:t>
      </w:r>
      <w:r w:rsidRPr="001342AF">
        <w:rPr>
          <w:rFonts w:ascii="Arial" w:hAnsi="Arial" w:cs="Arial"/>
          <w:sz w:val="21"/>
          <w:szCs w:val="21"/>
          <w:lang w:val="en-US"/>
        </w:rPr>
        <w:t>1673/2023</w:t>
      </w:r>
      <w:r w:rsidRPr="001342AF">
        <w:rPr>
          <w:rFonts w:ascii="Arial" w:hAnsi="Arial" w:cs="Arial"/>
          <w:sz w:val="21"/>
          <w:szCs w:val="21"/>
        </w:rPr>
        <w:t xml:space="preserve"> на извршител Зорица Симиќ изнесува 41.470,00 ЕУР во денарска противвредност по среден курс на НБРСМ на денот на продажбата како почетна цена за продажба на недвижноста, под која недвижност</w:t>
      </w:r>
      <w:r w:rsidRPr="001342AF">
        <w:rPr>
          <w:rFonts w:ascii="Arial" w:hAnsi="Arial" w:cs="Arial"/>
          <w:sz w:val="21"/>
          <w:szCs w:val="21"/>
          <w:lang w:val="en-US"/>
        </w:rPr>
        <w:t>a</w:t>
      </w:r>
      <w:r w:rsidRPr="001342AF">
        <w:rPr>
          <w:rFonts w:ascii="Arial" w:hAnsi="Arial" w:cs="Arial"/>
          <w:sz w:val="21"/>
          <w:szCs w:val="21"/>
        </w:rPr>
        <w:t xml:space="preserve"> не може да се продад</w:t>
      </w:r>
      <w:r w:rsidRPr="001342AF">
        <w:rPr>
          <w:rFonts w:ascii="Arial" w:hAnsi="Arial" w:cs="Arial"/>
          <w:sz w:val="21"/>
          <w:szCs w:val="21"/>
          <w:lang w:val="en-US"/>
        </w:rPr>
        <w:t>e</w:t>
      </w:r>
      <w:r w:rsidRPr="001342AF">
        <w:rPr>
          <w:rFonts w:ascii="Arial" w:hAnsi="Arial" w:cs="Arial"/>
          <w:sz w:val="21"/>
          <w:szCs w:val="21"/>
        </w:rPr>
        <w:t xml:space="preserve"> на второто јавно наддавање.</w:t>
      </w:r>
    </w:p>
    <w:p w:rsidR="00B2273A" w:rsidRPr="001342AF" w:rsidRDefault="00B2273A" w:rsidP="00B227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  <w:lang w:val="ru-RU"/>
        </w:rPr>
      </w:pPr>
      <w:r w:rsidRPr="001342AF">
        <w:rPr>
          <w:rFonts w:ascii="Arial" w:hAnsi="Arial" w:cs="Arial"/>
          <w:sz w:val="21"/>
          <w:szCs w:val="21"/>
        </w:rPr>
        <w:t xml:space="preserve">Недвижноста е оптоварена со следните товари и службености: </w:t>
      </w:r>
      <w:r w:rsidRPr="001342AF">
        <w:rPr>
          <w:rFonts w:ascii="Arial" w:hAnsi="Arial" w:cs="Arial"/>
          <w:sz w:val="21"/>
          <w:szCs w:val="21"/>
          <w:lang w:val="ru-RU"/>
        </w:rPr>
        <w:t>Налози од извршител.</w:t>
      </w:r>
    </w:p>
    <w:p w:rsidR="00B2273A" w:rsidRPr="001342AF" w:rsidRDefault="00B2273A" w:rsidP="00B2273A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1342AF">
        <w:rPr>
          <w:rFonts w:ascii="Arial" w:hAnsi="Arial" w:cs="Arial"/>
          <w:color w:val="00B050"/>
          <w:sz w:val="21"/>
          <w:szCs w:val="21"/>
        </w:rPr>
        <w:t xml:space="preserve"> </w:t>
      </w:r>
      <w:r w:rsidRPr="001342AF">
        <w:rPr>
          <w:rFonts w:ascii="Arial" w:hAnsi="Arial" w:cs="Arial"/>
          <w:sz w:val="21"/>
          <w:szCs w:val="21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B2273A" w:rsidRPr="001342AF" w:rsidRDefault="00B2273A" w:rsidP="00B2273A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B2273A" w:rsidRPr="001342AF" w:rsidRDefault="00B2273A" w:rsidP="00B227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>Уплатата на паричните средства на име гаранција се врши на жиро сметката од извршителот со бр.210076994090253</w:t>
      </w:r>
      <w:r w:rsidRPr="001342AF">
        <w:rPr>
          <w:rFonts w:ascii="Arial" w:hAnsi="Arial" w:cs="Arial"/>
          <w:sz w:val="21"/>
          <w:szCs w:val="21"/>
          <w:lang w:val="en-US"/>
        </w:rPr>
        <w:t xml:space="preserve"> </w:t>
      </w:r>
      <w:r w:rsidRPr="001342AF">
        <w:rPr>
          <w:rFonts w:ascii="Arial" w:hAnsi="Arial" w:cs="Arial"/>
          <w:sz w:val="21"/>
          <w:szCs w:val="21"/>
        </w:rPr>
        <w:t xml:space="preserve">која се </w:t>
      </w:r>
      <w:r w:rsidRPr="001342AF">
        <w:rPr>
          <w:rFonts w:ascii="Arial" w:hAnsi="Arial" w:cs="Arial"/>
          <w:color w:val="000000" w:themeColor="text1"/>
          <w:sz w:val="21"/>
          <w:szCs w:val="21"/>
        </w:rPr>
        <w:t xml:space="preserve">води кај </w:t>
      </w:r>
      <w:r w:rsidRPr="001342AF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НЛБ </w:t>
      </w:r>
      <w:proofErr w:type="spellStart"/>
      <w:r w:rsidRPr="001342AF">
        <w:rPr>
          <w:rFonts w:ascii="Arial" w:hAnsi="Arial" w:cs="Arial"/>
          <w:color w:val="000000" w:themeColor="text1"/>
          <w:sz w:val="21"/>
          <w:szCs w:val="21"/>
          <w:lang w:val="en-US"/>
        </w:rPr>
        <w:t>Банка</w:t>
      </w:r>
      <w:proofErr w:type="spellEnd"/>
      <w:r w:rsidRPr="001342AF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 АД </w:t>
      </w:r>
      <w:proofErr w:type="spellStart"/>
      <w:r w:rsidRPr="001342AF">
        <w:rPr>
          <w:rFonts w:ascii="Arial" w:hAnsi="Arial" w:cs="Arial"/>
          <w:color w:val="000000" w:themeColor="text1"/>
          <w:sz w:val="21"/>
          <w:szCs w:val="21"/>
          <w:lang w:val="en-US"/>
        </w:rPr>
        <w:t>Скопје</w:t>
      </w:r>
      <w:proofErr w:type="spellEnd"/>
      <w:r w:rsidRPr="001342AF">
        <w:rPr>
          <w:rFonts w:ascii="Arial" w:hAnsi="Arial" w:cs="Arial"/>
          <w:color w:val="000000" w:themeColor="text1"/>
          <w:sz w:val="21"/>
          <w:szCs w:val="21"/>
        </w:rPr>
        <w:t xml:space="preserve"> и даночен број 5080023512272</w:t>
      </w:r>
      <w:r w:rsidRPr="001342AF">
        <w:rPr>
          <w:rFonts w:ascii="Arial" w:hAnsi="Arial" w:cs="Arial"/>
          <w:color w:val="000000" w:themeColor="text1"/>
          <w:sz w:val="21"/>
          <w:szCs w:val="21"/>
          <w:lang w:val="en-US"/>
        </w:rPr>
        <w:t xml:space="preserve">, </w:t>
      </w:r>
      <w:r w:rsidRPr="001342AF">
        <w:rPr>
          <w:rFonts w:ascii="Arial" w:hAnsi="Arial" w:cs="Arial"/>
          <w:color w:val="000000" w:themeColor="text1"/>
          <w:sz w:val="21"/>
          <w:szCs w:val="21"/>
        </w:rPr>
        <w:t>со назнака гаранција за И.бр.1673/2023.</w:t>
      </w:r>
    </w:p>
    <w:p w:rsidR="00B2273A" w:rsidRPr="001342AF" w:rsidRDefault="00B2273A" w:rsidP="00B2273A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>Данокот на промет на недвижности и други трошоци во врска со пренос на правото на сопственост паѓаат на товар на купувачот.</w:t>
      </w:r>
    </w:p>
    <w:p w:rsidR="00B2273A" w:rsidRPr="001342AF" w:rsidRDefault="00B2273A" w:rsidP="00B2273A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B2273A" w:rsidRPr="001342AF" w:rsidRDefault="00B2273A" w:rsidP="00B2273A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lastRenderedPageBreak/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1342AF">
        <w:rPr>
          <w:rFonts w:ascii="Arial" w:hAnsi="Arial" w:cs="Arial"/>
          <w:sz w:val="21"/>
          <w:szCs w:val="21"/>
          <w:lang w:val="ru-RU"/>
        </w:rPr>
        <w:t xml:space="preserve">15 </w:t>
      </w:r>
      <w:r w:rsidRPr="001342AF">
        <w:rPr>
          <w:rFonts w:ascii="Arial" w:hAnsi="Arial" w:cs="Arial"/>
          <w:sz w:val="21"/>
          <w:szCs w:val="21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B2273A" w:rsidRPr="001342AF" w:rsidRDefault="00B2273A" w:rsidP="00B2273A">
      <w:pPr>
        <w:spacing w:after="0"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Овој заклучок ќе се објави во следните средства за јавно информирање </w:t>
      </w:r>
      <w:r w:rsidRPr="001342AF">
        <w:rPr>
          <w:rFonts w:ascii="Arial" w:hAnsi="Arial" w:cs="Arial"/>
          <w:sz w:val="21"/>
          <w:szCs w:val="21"/>
          <w:lang w:val="ru-RU"/>
        </w:rPr>
        <w:t>Нова Македонија и електронски на веб страницата на Комората</w:t>
      </w:r>
      <w:r w:rsidRPr="001342AF">
        <w:rPr>
          <w:rFonts w:ascii="Arial" w:hAnsi="Arial" w:cs="Arial"/>
          <w:sz w:val="21"/>
          <w:szCs w:val="21"/>
        </w:rPr>
        <w:t>.</w:t>
      </w:r>
    </w:p>
    <w:p w:rsidR="00B2273A" w:rsidRPr="001342AF" w:rsidRDefault="00B2273A" w:rsidP="00B2273A">
      <w:pPr>
        <w:spacing w:line="240" w:lineRule="auto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B2273A" w:rsidRPr="001342AF" w:rsidRDefault="00B2273A" w:rsidP="00B2273A">
      <w:pPr>
        <w:ind w:firstLine="720"/>
        <w:jc w:val="both"/>
        <w:rPr>
          <w:rFonts w:ascii="Arial" w:hAnsi="Arial" w:cs="Arial"/>
          <w:sz w:val="21"/>
          <w:szCs w:val="21"/>
        </w:rPr>
      </w:pPr>
    </w:p>
    <w:p w:rsidR="00B2273A" w:rsidRPr="001342AF" w:rsidRDefault="00B2273A" w:rsidP="00B2273A">
      <w:pPr>
        <w:spacing w:after="0" w:line="240" w:lineRule="auto"/>
        <w:ind w:firstLine="720"/>
        <w:jc w:val="center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</w:t>
      </w:r>
      <w:r w:rsidR="001342AF">
        <w:rPr>
          <w:rFonts w:ascii="Arial" w:hAnsi="Arial" w:cs="Arial"/>
          <w:sz w:val="21"/>
          <w:szCs w:val="21"/>
        </w:rPr>
        <w:t xml:space="preserve"> </w:t>
      </w:r>
      <w:r w:rsidRPr="001342AF">
        <w:rPr>
          <w:rFonts w:ascii="Arial" w:hAnsi="Arial" w:cs="Arial"/>
          <w:sz w:val="21"/>
          <w:szCs w:val="21"/>
        </w:rPr>
        <w:t>И З В Р Ш И Т Е Л</w:t>
      </w:r>
    </w:p>
    <w:tbl>
      <w:tblPr>
        <w:tblpPr w:leftFromText="180" w:rightFromText="180" w:vertAnchor="text" w:horzAnchor="margin" w:tblpXSpec="right" w:tblpY="37"/>
        <w:tblOverlap w:val="never"/>
        <w:tblW w:w="0" w:type="auto"/>
        <w:tblLook w:val="04A0"/>
      </w:tblPr>
      <w:tblGrid>
        <w:gridCol w:w="4394"/>
      </w:tblGrid>
      <w:tr w:rsidR="00B2273A" w:rsidRPr="001342AF" w:rsidTr="00B2273A">
        <w:trPr>
          <w:trHeight w:val="851"/>
        </w:trPr>
        <w:tc>
          <w:tcPr>
            <w:tcW w:w="4297" w:type="dxa"/>
            <w:hideMark/>
          </w:tcPr>
          <w:p w:rsidR="00B2273A" w:rsidRPr="001342AF" w:rsidRDefault="00B2273A" w:rsidP="00B2273A">
            <w:pPr>
              <w:spacing w:after="0" w:line="240" w:lineRule="auto"/>
              <w:ind w:firstLine="720"/>
              <w:jc w:val="center"/>
              <w:rPr>
                <w:rFonts w:ascii="Arial" w:hAnsi="Arial" w:cs="Arial"/>
                <w:sz w:val="21"/>
                <w:szCs w:val="21"/>
              </w:rPr>
            </w:pPr>
            <w:bookmarkStart w:id="19" w:name="OIzvIme"/>
            <w:bookmarkEnd w:id="19"/>
            <w:r w:rsidRPr="001342AF">
              <w:rPr>
                <w:rFonts w:ascii="Arial" w:hAnsi="Arial" w:cs="Arial"/>
                <w:sz w:val="21"/>
                <w:szCs w:val="21"/>
              </w:rPr>
              <w:t>Зорица Симиќ</w:t>
            </w:r>
            <w:r w:rsidR="006D18AF" w:rsidRPr="006D18AF">
              <w:rPr>
                <w:rFonts w:ascii="Arial" w:hAnsi="Arial" w:cs="Arial"/>
                <w:sz w:val="21"/>
                <w:szCs w:val="21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208.8pt;height:59.4pt" wrapcoords="-63 0 -63 21016 21600 21016 21600 0 -63 0" o:allowoverlap="f">
                  <v:imagedata r:id="rId7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B2273A" w:rsidRPr="001342AF" w:rsidRDefault="00B2273A" w:rsidP="00B2273A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>Д.-на</w:t>
      </w:r>
      <w:r w:rsidRPr="001342AF">
        <w:rPr>
          <w:rFonts w:ascii="Arial" w:hAnsi="Arial" w:cs="Arial"/>
          <w:sz w:val="21"/>
          <w:szCs w:val="21"/>
          <w:lang w:val="en-US"/>
        </w:rPr>
        <w:t xml:space="preserve">: </w:t>
      </w:r>
      <w:r w:rsidRPr="001342AF">
        <w:rPr>
          <w:rFonts w:ascii="Arial" w:hAnsi="Arial" w:cs="Arial"/>
          <w:sz w:val="21"/>
          <w:szCs w:val="21"/>
        </w:rPr>
        <w:t>- должник</w:t>
      </w:r>
    </w:p>
    <w:p w:rsidR="00B2273A" w:rsidRPr="001342AF" w:rsidRDefault="00B2273A" w:rsidP="00B2273A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- доверител</w:t>
      </w:r>
    </w:p>
    <w:p w:rsidR="00B2273A" w:rsidRPr="001342AF" w:rsidRDefault="00B2273A" w:rsidP="00B2273A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- УЈП – Регионална дирекција  Штип – Даночно </w:t>
      </w:r>
    </w:p>
    <w:p w:rsidR="00B2273A" w:rsidRPr="001342AF" w:rsidRDefault="00B2273A" w:rsidP="00B2273A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  одделение Кочани</w:t>
      </w:r>
    </w:p>
    <w:p w:rsidR="00B2273A" w:rsidRPr="001342AF" w:rsidRDefault="00B2273A" w:rsidP="00B2273A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- Општина Кочани – Одделение за даноци, такси и       </w:t>
      </w:r>
    </w:p>
    <w:p w:rsidR="00B2273A" w:rsidRPr="001342AF" w:rsidRDefault="00B2273A" w:rsidP="00B2273A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  надоместоци</w:t>
      </w:r>
    </w:p>
    <w:p w:rsidR="00B2273A" w:rsidRPr="001342AF" w:rsidRDefault="00B2273A" w:rsidP="00B2273A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- Извршител Павел Поп-Иванов</w:t>
      </w:r>
    </w:p>
    <w:p w:rsidR="00B2273A" w:rsidRPr="001342AF" w:rsidRDefault="00B2273A" w:rsidP="00B2273A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- претходни доверители</w:t>
      </w:r>
    </w:p>
    <w:p w:rsidR="00B2273A" w:rsidRPr="001342AF" w:rsidRDefault="00B2273A" w:rsidP="00B2273A">
      <w:pPr>
        <w:spacing w:after="0" w:line="240" w:lineRule="auto"/>
        <w:ind w:firstLine="36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</w:rPr>
        <w:t xml:space="preserve">           - архива на извршител</w:t>
      </w:r>
    </w:p>
    <w:p w:rsidR="00B2273A" w:rsidRPr="001342AF" w:rsidRDefault="00B2273A" w:rsidP="00B2273A">
      <w:pPr>
        <w:spacing w:after="0"/>
        <w:ind w:firstLine="720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sz w:val="21"/>
          <w:szCs w:val="21"/>
          <w:lang w:val="en-US"/>
        </w:rPr>
        <w:br/>
      </w:r>
      <w:r w:rsidRPr="001342AF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</w:t>
      </w:r>
    </w:p>
    <w:p w:rsidR="00B2273A" w:rsidRPr="001342AF" w:rsidRDefault="00B2273A" w:rsidP="00B2273A">
      <w:pPr>
        <w:ind w:firstLine="720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B2273A" w:rsidRPr="001342AF" w:rsidRDefault="00B2273A" w:rsidP="00B2273A">
      <w:pPr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1342AF">
        <w:rPr>
          <w:rFonts w:ascii="Arial" w:hAnsi="Arial" w:cs="Arial"/>
          <w:b/>
          <w:sz w:val="21"/>
          <w:szCs w:val="21"/>
        </w:rPr>
        <w:t>Правна поука:</w:t>
      </w:r>
      <w:r w:rsidRPr="001342AF">
        <w:rPr>
          <w:rFonts w:ascii="Arial" w:hAnsi="Arial" w:cs="Arial"/>
          <w:sz w:val="21"/>
          <w:szCs w:val="21"/>
        </w:rPr>
        <w:t xml:space="preserve"> Против овој акт може да се поднесе приговор до </w:t>
      </w:r>
      <w:bookmarkStart w:id="20" w:name="OSudPouka"/>
      <w:bookmarkEnd w:id="20"/>
      <w:r w:rsidRPr="001342AF">
        <w:rPr>
          <w:rFonts w:ascii="Arial" w:hAnsi="Arial" w:cs="Arial"/>
          <w:sz w:val="21"/>
          <w:szCs w:val="21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  <w:r w:rsidRPr="001342AF">
        <w:rPr>
          <w:rFonts w:ascii="Arial" w:hAnsi="Arial" w:cs="Arial"/>
          <w:b/>
          <w:bCs/>
          <w:sz w:val="21"/>
          <w:szCs w:val="21"/>
        </w:rPr>
        <w:tab/>
      </w:r>
      <w:r w:rsidRPr="001342AF">
        <w:rPr>
          <w:rFonts w:ascii="Arial" w:hAnsi="Arial" w:cs="Arial"/>
          <w:b/>
          <w:bCs/>
          <w:sz w:val="21"/>
          <w:szCs w:val="21"/>
          <w:lang w:val="ru-RU"/>
        </w:rPr>
        <w:t xml:space="preserve"> </w:t>
      </w:r>
    </w:p>
    <w:p w:rsidR="00B2273A" w:rsidRPr="001342AF" w:rsidRDefault="00B2273A" w:rsidP="00B2273A">
      <w:pPr>
        <w:ind w:firstLine="720"/>
        <w:jc w:val="both"/>
        <w:rPr>
          <w:rFonts w:ascii="Arial" w:hAnsi="Arial" w:cs="Arial"/>
          <w:sz w:val="21"/>
          <w:szCs w:val="21"/>
        </w:rPr>
      </w:pPr>
    </w:p>
    <w:p w:rsidR="00B51157" w:rsidRPr="001342AF" w:rsidRDefault="00B51157" w:rsidP="00B227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sectPr w:rsidR="00B51157" w:rsidRPr="001342AF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73A" w:rsidRDefault="00B2273A" w:rsidP="00B2273A">
      <w:pPr>
        <w:spacing w:after="0" w:line="240" w:lineRule="auto"/>
      </w:pPr>
      <w:r>
        <w:separator/>
      </w:r>
    </w:p>
  </w:endnote>
  <w:endnote w:type="continuationSeparator" w:id="0">
    <w:p w:rsidR="00B2273A" w:rsidRDefault="00B2273A" w:rsidP="00B2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73A" w:rsidRPr="00B2273A" w:rsidRDefault="00B2273A" w:rsidP="00B2273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D18A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D18AF">
      <w:rPr>
        <w:rFonts w:ascii="Arial" w:hAnsi="Arial" w:cs="Arial"/>
        <w:sz w:val="14"/>
      </w:rPr>
      <w:fldChar w:fldCharType="separate"/>
    </w:r>
    <w:r w:rsidR="00635A69">
      <w:rPr>
        <w:rFonts w:ascii="Arial" w:hAnsi="Arial" w:cs="Arial"/>
        <w:noProof/>
        <w:sz w:val="14"/>
      </w:rPr>
      <w:t>2</w:t>
    </w:r>
    <w:r w:rsidR="006D18A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73A" w:rsidRDefault="00B2273A" w:rsidP="00B2273A">
      <w:pPr>
        <w:spacing w:after="0" w:line="240" w:lineRule="auto"/>
      </w:pPr>
      <w:r>
        <w:separator/>
      </w:r>
    </w:p>
  </w:footnote>
  <w:footnote w:type="continuationSeparator" w:id="0">
    <w:p w:rsidR="00B2273A" w:rsidRDefault="00B2273A" w:rsidP="00B22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299"/>
    <w:rsid w:val="000A48CC"/>
    <w:rsid w:val="000A4928"/>
    <w:rsid w:val="00106412"/>
    <w:rsid w:val="00132B66"/>
    <w:rsid w:val="001342AF"/>
    <w:rsid w:val="0015029B"/>
    <w:rsid w:val="00180BCE"/>
    <w:rsid w:val="001D7BA8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0CFE"/>
    <w:rsid w:val="003B40CD"/>
    <w:rsid w:val="003D21AC"/>
    <w:rsid w:val="003D4A9E"/>
    <w:rsid w:val="00451FBC"/>
    <w:rsid w:val="0046102D"/>
    <w:rsid w:val="004B6200"/>
    <w:rsid w:val="004F2C9E"/>
    <w:rsid w:val="004F4016"/>
    <w:rsid w:val="00545E7B"/>
    <w:rsid w:val="0061005D"/>
    <w:rsid w:val="00635A69"/>
    <w:rsid w:val="00665925"/>
    <w:rsid w:val="006A157B"/>
    <w:rsid w:val="006D18AF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701D2"/>
    <w:rsid w:val="00AE3FFA"/>
    <w:rsid w:val="00B15F85"/>
    <w:rsid w:val="00B20C15"/>
    <w:rsid w:val="00B2273A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9753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22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273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227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273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0gPNMgdB+hpSXDvC77q4tdUR/0Y=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kqn6XBYEN4AQbTsMSVqAQAUKxijfepsrydAuI5Gbv6MfbrwYQfMdp+YTOEMQlCl+q6ur94y2
    j50JUgkaWmww5T09A83RyohC01EJQNt3IYfobXT0SQEp+DVLVWQ72kExCMkZa4QXegY3OMQW
    vTGbK8r275qAl9vXjzc9xQQcgyNufBklxKrNiOup+TO0jIMhlavdEZOR71UAyA3Y78XLAiQM
    IkP6jBDyZVZFU+aRB9z54R2vZtxF3zY8kdgARBkxdDrHtLQMVwmBClysUaBolvaDURZ/XxIf
    k3BTMHytVwR13wH+yKDUGiG/w93X/HnuspFNjVue/MtWuzc8W6j/UA==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Hk4Tuczh/8oaGh75Y1ZKKOllwCA=</DigestValue>
      </Reference>
      <Reference URI="/word/document.xml?ContentType=application/vnd.openxmlformats-officedocument.wordprocessingml.document.main+xml">
        <DigestMethod Algorithm="http://www.w3.org/2000/09/xmldsig#sha1"/>
        <DigestValue>wN5Gk9/JFDF7PInHOPA6nm+FQZY=</DigestValue>
      </Reference>
      <Reference URI="/word/endnotes.xml?ContentType=application/vnd.openxmlformats-officedocument.wordprocessingml.endnotes+xml">
        <DigestMethod Algorithm="http://www.w3.org/2000/09/xmldsig#sha1"/>
        <DigestValue>WeYcbDEM6XKHQNohbIIdWxbt/eg=</DigestValue>
      </Reference>
      <Reference URI="/word/fontTable.xml?ContentType=application/vnd.openxmlformats-officedocument.wordprocessingml.fontTable+xml">
        <DigestMethod Algorithm="http://www.w3.org/2000/09/xmldsig#sha1"/>
        <DigestValue>2be7jRcK+nAlaAoluhBKZFuZT8I=</DigestValue>
      </Reference>
      <Reference URI="/word/footer1.xml?ContentType=application/vnd.openxmlformats-officedocument.wordprocessingml.footer+xml">
        <DigestMethod Algorithm="http://www.w3.org/2000/09/xmldsig#sha1"/>
        <DigestValue>lhL7Yx+7QP0JHU2hf/VfFr3VCC0=</DigestValue>
      </Reference>
      <Reference URI="/word/footnotes.xml?ContentType=application/vnd.openxmlformats-officedocument.wordprocessingml.footnotes+xml">
        <DigestMethod Algorithm="http://www.w3.org/2000/09/xmldsig#sha1"/>
        <DigestValue>Igf8Hqz2yJo+f7JQ+LhRurXbivw=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xy8vsqkZCie3t6rq4N921OhKUE4=</DigestValue>
      </Reference>
      <Reference URI="/word/settings.xml?ContentType=application/vnd.openxmlformats-officedocument.wordprocessingml.settings+xml">
        <DigestMethod Algorithm="http://www.w3.org/2000/09/xmldsig#sha1"/>
        <DigestValue>YgNWVBF/A+ZDZMbJGrOekqres9Y=</DigestValue>
      </Reference>
      <Reference URI="/word/styles.xml?ContentType=application/vnd.openxmlformats-officedocument.wordprocessingml.styles+xml">
        <DigestMethod Algorithm="http://www.w3.org/2000/09/xmldsig#sha1"/>
        <DigestValue>RsesTZ79NahlDAbxdAzNesKAO30=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B+7NEjw+ArWXGOmUEEskU3e20Hs=</DigestValue>
      </Reference>
    </Manifest>
    <SignatureProperties>
      <SignatureProperty Id="idSignatureTime" Target="#idPackageSignature">
        <mdssi:SignatureTime>
          <mdssi:Format>YYYY-MM-DDThh:mm:ssTZD</mdssi:Format>
          <mdssi:Value>2025-09-16T08:10:37Z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3</cp:revision>
  <dcterms:created xsi:type="dcterms:W3CDTF">2025-09-15T08:42:00Z</dcterms:created>
  <dcterms:modified xsi:type="dcterms:W3CDTF">2025-09-16T08:10:00Z</dcterms:modified>
</cp:coreProperties>
</file>