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7B6B03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B6B03" w:rsidTr="009851EC">
        <w:tc>
          <w:tcPr>
            <w:tcW w:w="6204" w:type="dxa"/>
            <w:hideMark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  <w:r w:rsidRPr="007B6B03">
              <w:rPr>
                <w:rFonts w:asciiTheme="minorHAnsi" w:hAnsiTheme="minorHAnsi" w:cstheme="minorHAnsi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3C89BD2F" wp14:editId="0B2B985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</w:tr>
      <w:tr w:rsidR="00823825" w:rsidRPr="007B6B03" w:rsidTr="009851EC">
        <w:tc>
          <w:tcPr>
            <w:tcW w:w="6204" w:type="dxa"/>
            <w:hideMark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7B6B03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 xml:space="preserve">Република </w:t>
            </w:r>
            <w:r w:rsidR="00F8572F" w:rsidRPr="007B6B03">
              <w:rPr>
                <w:rFonts w:asciiTheme="minorHAnsi" w:eastAsia="Times New Roman" w:hAnsiTheme="minorHAnsi" w:cstheme="minorHAnsi"/>
                <w:b/>
                <w:bCs/>
                <w:noProof/>
                <w:sz w:val="21"/>
                <w:szCs w:val="21"/>
                <w:lang w:eastAsia="mk-MK"/>
              </w:rPr>
              <w:t xml:space="preserve">Северна </w:t>
            </w:r>
            <w:r w:rsidRPr="007B6B03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7B6B03" w:rsidTr="009851EC">
        <w:tc>
          <w:tcPr>
            <w:tcW w:w="6204" w:type="dxa"/>
            <w:hideMark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Образец бр.</w:t>
            </w:r>
            <w:r w:rsidR="006F48A5"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7B6B03" w:rsidTr="009851EC">
        <w:tc>
          <w:tcPr>
            <w:tcW w:w="6204" w:type="dxa"/>
            <w:hideMark/>
          </w:tcPr>
          <w:p w:rsidR="00823825" w:rsidRPr="007B6B03" w:rsidRDefault="00A900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0" w:name="Ime"/>
            <w:bookmarkEnd w:id="0"/>
            <w:proofErr w:type="spellStart"/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Благоја</w:t>
            </w:r>
            <w:proofErr w:type="spellEnd"/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7B6B03" w:rsidTr="009851EC">
        <w:tc>
          <w:tcPr>
            <w:tcW w:w="6204" w:type="dxa"/>
            <w:hideMark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7B6B03" w:rsidTr="009851EC">
        <w:tc>
          <w:tcPr>
            <w:tcW w:w="6204" w:type="dxa"/>
            <w:hideMark/>
          </w:tcPr>
          <w:p w:rsidR="00823825" w:rsidRPr="007B6B03" w:rsidRDefault="00A900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7B6B03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И.бр</w:t>
            </w:r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A90093"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398/2023</w:t>
            </w:r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7B6B03" w:rsidTr="009851EC">
        <w:tc>
          <w:tcPr>
            <w:tcW w:w="6204" w:type="dxa"/>
            <w:hideMark/>
          </w:tcPr>
          <w:p w:rsidR="00823825" w:rsidRPr="007B6B03" w:rsidRDefault="00A900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7B6B03" w:rsidTr="009851EC">
        <w:tc>
          <w:tcPr>
            <w:tcW w:w="6204" w:type="dxa"/>
            <w:hideMark/>
          </w:tcPr>
          <w:p w:rsidR="00823825" w:rsidRPr="007B6B03" w:rsidRDefault="00A900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ул.Дебарца</w:t>
            </w:r>
            <w:proofErr w:type="spellEnd"/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7B6B03" w:rsidTr="009851EC">
        <w:tc>
          <w:tcPr>
            <w:tcW w:w="6204" w:type="dxa"/>
            <w:hideMark/>
          </w:tcPr>
          <w:p w:rsidR="00823825" w:rsidRPr="007B6B03" w:rsidRDefault="00A9009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7B6B03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7B6B03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7B6B0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7B6B03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                        </w:t>
      </w:r>
      <w:r w:rsidRPr="007B6B03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7B6B03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7B6B03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  <w:t xml:space="preserve">   </w:t>
      </w:r>
    </w:p>
    <w:p w:rsidR="00823825" w:rsidRPr="007B6B03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:rsidR="0021499C" w:rsidRPr="007B6B03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6B03">
        <w:rPr>
          <w:rFonts w:asciiTheme="minorHAnsi" w:hAnsiTheme="minorHAnsi" w:cstheme="minorHAnsi"/>
          <w:sz w:val="21"/>
          <w:szCs w:val="21"/>
        </w:rPr>
        <w:t xml:space="preserve">Извршителот </w:t>
      </w:r>
      <w:bookmarkStart w:id="6" w:name="Izvrsitel"/>
      <w:bookmarkEnd w:id="6"/>
      <w:r w:rsidR="00A90093" w:rsidRPr="007B6B03">
        <w:rPr>
          <w:rFonts w:asciiTheme="minorHAnsi" w:hAnsiTheme="minorHAnsi" w:cstheme="minorHAnsi"/>
          <w:sz w:val="21"/>
          <w:szCs w:val="21"/>
        </w:rPr>
        <w:t>Благоја Каламатиев</w:t>
      </w:r>
      <w:r w:rsidRPr="007B6B03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7" w:name="Adresa"/>
      <w:bookmarkEnd w:id="7"/>
      <w:r w:rsidR="00A90093" w:rsidRPr="007B6B03">
        <w:rPr>
          <w:rFonts w:asciiTheme="minorHAnsi" w:hAnsiTheme="minorHAnsi" w:cstheme="minorHAnsi"/>
          <w:sz w:val="21"/>
          <w:szCs w:val="21"/>
        </w:rPr>
        <w:t>Скопје со седиште на ул.Дебарца бр.25А/1-2</w:t>
      </w:r>
      <w:r w:rsidRPr="007B6B03">
        <w:rPr>
          <w:rFonts w:asciiTheme="minorHAnsi" w:hAnsiTheme="minorHAnsi" w:cstheme="minorHAnsi"/>
          <w:sz w:val="21"/>
          <w:szCs w:val="21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A90093" w:rsidRPr="007B6B03">
        <w:rPr>
          <w:rFonts w:asciiTheme="minorHAnsi" w:hAnsiTheme="minorHAnsi" w:cstheme="minorHAnsi"/>
          <w:sz w:val="21"/>
          <w:szCs w:val="21"/>
        </w:rPr>
        <w:t>доверителот Шпаркасе Банка Македонија АД Скопје</w:t>
      </w:r>
      <w:r w:rsidRPr="007B6B03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9" w:name="DovGrad1"/>
      <w:bookmarkEnd w:id="9"/>
      <w:r w:rsidR="00A90093" w:rsidRPr="007B6B03">
        <w:rPr>
          <w:rFonts w:asciiTheme="minorHAnsi" w:hAnsiTheme="minorHAnsi" w:cstheme="minorHAnsi"/>
          <w:sz w:val="21"/>
          <w:szCs w:val="21"/>
        </w:rPr>
        <w:t>Скопје</w:t>
      </w:r>
      <w:r w:rsidRPr="007B6B03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7B6B03">
        <w:rPr>
          <w:rFonts w:asciiTheme="minorHAnsi" w:hAnsiTheme="minorHAnsi" w:cstheme="minorHAnsi"/>
          <w:sz w:val="21"/>
          <w:szCs w:val="21"/>
        </w:rPr>
        <w:t xml:space="preserve">со </w:t>
      </w:r>
      <w:bookmarkStart w:id="10" w:name="opis_edb1"/>
      <w:bookmarkEnd w:id="10"/>
      <w:r w:rsidR="00A90093" w:rsidRPr="007B6B03">
        <w:rPr>
          <w:rFonts w:asciiTheme="minorHAnsi" w:hAnsiTheme="minorHAnsi" w:cstheme="minorHAnsi"/>
          <w:sz w:val="21"/>
          <w:szCs w:val="21"/>
        </w:rPr>
        <w:t>ЕДБ 4030993261735 и ЕМБС 4558669</w:t>
      </w:r>
      <w:r w:rsidRPr="007B6B03">
        <w:rPr>
          <w:rFonts w:asciiTheme="minorHAnsi" w:hAnsiTheme="minorHAnsi" w:cstheme="minorHAnsi"/>
          <w:sz w:val="21"/>
          <w:szCs w:val="21"/>
        </w:rPr>
        <w:t xml:space="preserve"> </w:t>
      </w:r>
      <w:bookmarkStart w:id="11" w:name="edb1"/>
      <w:bookmarkEnd w:id="11"/>
      <w:r w:rsidRPr="007B6B03">
        <w:rPr>
          <w:rFonts w:asciiTheme="minorHAnsi" w:hAnsiTheme="minorHAnsi" w:cstheme="minorHAnsi"/>
          <w:sz w:val="21"/>
          <w:szCs w:val="21"/>
        </w:rPr>
        <w:t xml:space="preserve"> </w:t>
      </w:r>
      <w:bookmarkStart w:id="12" w:name="opis_sed1"/>
      <w:bookmarkEnd w:id="12"/>
      <w:r w:rsidR="00A90093" w:rsidRPr="007B6B03">
        <w:rPr>
          <w:rFonts w:asciiTheme="minorHAnsi" w:hAnsiTheme="minorHAnsi" w:cstheme="minorHAnsi"/>
          <w:sz w:val="21"/>
          <w:szCs w:val="21"/>
        </w:rPr>
        <w:t>и седиште на</w:t>
      </w:r>
      <w:r w:rsidRPr="007B6B03">
        <w:rPr>
          <w:rFonts w:asciiTheme="minorHAnsi" w:hAnsiTheme="minorHAnsi" w:cstheme="minorHAnsi"/>
          <w:sz w:val="21"/>
          <w:szCs w:val="21"/>
        </w:rPr>
        <w:t xml:space="preserve"> </w:t>
      </w:r>
      <w:bookmarkStart w:id="13" w:name="adresa1"/>
      <w:bookmarkEnd w:id="13"/>
      <w:r w:rsidR="00A90093" w:rsidRPr="007B6B03">
        <w:rPr>
          <w:rFonts w:asciiTheme="minorHAnsi" w:hAnsiTheme="minorHAnsi" w:cstheme="minorHAnsi"/>
          <w:sz w:val="21"/>
          <w:szCs w:val="21"/>
        </w:rPr>
        <w:t>ул.Македонија бр.9/11 Скопје</w:t>
      </w:r>
      <w:r w:rsidRPr="007B6B03">
        <w:rPr>
          <w:rFonts w:asciiTheme="minorHAnsi" w:hAnsiTheme="minorHAnsi" w:cstheme="minorHAnsi"/>
          <w:sz w:val="21"/>
          <w:szCs w:val="21"/>
          <w:lang w:val="ru-RU"/>
        </w:rPr>
        <w:t>,</w:t>
      </w:r>
      <w:r w:rsidRPr="007B6B03">
        <w:rPr>
          <w:rFonts w:asciiTheme="minorHAnsi" w:hAnsiTheme="minorHAnsi" w:cstheme="minorHAnsi"/>
          <w:sz w:val="21"/>
          <w:szCs w:val="21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B6B03">
        <w:rPr>
          <w:rFonts w:asciiTheme="minorHAnsi" w:hAnsiTheme="minorHAnsi" w:cstheme="minorHAnsi"/>
          <w:sz w:val="21"/>
          <w:szCs w:val="21"/>
        </w:rPr>
        <w:t xml:space="preserve"> засновано на извршната исправа </w:t>
      </w:r>
      <w:bookmarkStart w:id="18" w:name="IzvIsprava"/>
      <w:bookmarkEnd w:id="18"/>
      <w:r w:rsidR="00A90093" w:rsidRPr="007B6B03">
        <w:rPr>
          <w:rFonts w:asciiTheme="minorHAnsi" w:hAnsiTheme="minorHAnsi" w:cstheme="minorHAnsi"/>
          <w:sz w:val="21"/>
          <w:szCs w:val="21"/>
        </w:rPr>
        <w:t>Нотарски акт ОДУ бр.713/19 од 22.08.2019 година на Нотар Анита Адамческа од Скопје</w:t>
      </w:r>
      <w:r w:rsidRPr="007B6B03">
        <w:rPr>
          <w:rFonts w:asciiTheme="minorHAnsi" w:hAnsiTheme="minorHAnsi" w:cstheme="minorHAnsi"/>
          <w:sz w:val="21"/>
          <w:szCs w:val="21"/>
        </w:rPr>
        <w:t xml:space="preserve">, против </w:t>
      </w:r>
      <w:bookmarkStart w:id="19" w:name="Dolznik1"/>
      <w:bookmarkEnd w:id="19"/>
      <w:r w:rsidR="00BA02AD" w:rsidRPr="007B6B03">
        <w:rPr>
          <w:rFonts w:asciiTheme="minorHAnsi" w:hAnsiTheme="minorHAnsi" w:cstheme="minorHAnsi"/>
          <w:sz w:val="21"/>
          <w:szCs w:val="21"/>
        </w:rPr>
        <w:t xml:space="preserve"> заложниот должник</w:t>
      </w:r>
      <w:r w:rsidR="00A90093" w:rsidRPr="007B6B03">
        <w:rPr>
          <w:rFonts w:asciiTheme="minorHAnsi" w:hAnsiTheme="minorHAnsi" w:cstheme="minorHAnsi"/>
          <w:sz w:val="21"/>
          <w:szCs w:val="21"/>
        </w:rPr>
        <w:t xml:space="preserve"> Ненад Мирчевиќ</w:t>
      </w:r>
      <w:r w:rsidRPr="007B6B03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20" w:name="DolzGrad1"/>
      <w:bookmarkEnd w:id="20"/>
      <w:r w:rsidR="00A90093" w:rsidRPr="007B6B03">
        <w:rPr>
          <w:rFonts w:asciiTheme="minorHAnsi" w:hAnsiTheme="minorHAnsi" w:cstheme="minorHAnsi"/>
          <w:sz w:val="21"/>
          <w:szCs w:val="21"/>
        </w:rPr>
        <w:t>Скопје</w:t>
      </w:r>
      <w:r w:rsidRPr="007B6B03">
        <w:rPr>
          <w:rFonts w:asciiTheme="minorHAnsi" w:hAnsiTheme="minorHAnsi" w:cstheme="minorHAnsi"/>
          <w:sz w:val="21"/>
          <w:szCs w:val="21"/>
        </w:rPr>
        <w:t xml:space="preserve"> </w:t>
      </w:r>
      <w:r w:rsidR="00A90093" w:rsidRPr="007B6B03">
        <w:rPr>
          <w:rFonts w:asciiTheme="minorHAnsi" w:hAnsiTheme="minorHAnsi" w:cstheme="minorHAnsi"/>
          <w:sz w:val="21"/>
          <w:szCs w:val="21"/>
        </w:rPr>
        <w:t>и живеалиште на ул Видое Смилевски Бато бр 19/1-30</w:t>
      </w:r>
      <w:r w:rsidRPr="007B6B03">
        <w:rPr>
          <w:rFonts w:asciiTheme="minorHAnsi" w:hAnsiTheme="minorHAnsi" w:cstheme="minorHAnsi"/>
          <w:sz w:val="21"/>
          <w:szCs w:val="21"/>
        </w:rPr>
        <w:t xml:space="preserve">, </w:t>
      </w:r>
      <w:bookmarkStart w:id="21" w:name="Dolznik2"/>
      <w:bookmarkEnd w:id="21"/>
      <w:r w:rsidRPr="007B6B03">
        <w:rPr>
          <w:rFonts w:asciiTheme="minorHAnsi" w:hAnsiTheme="minorHAnsi" w:cstheme="minorHAnsi"/>
          <w:sz w:val="21"/>
          <w:szCs w:val="21"/>
        </w:rPr>
        <w:t xml:space="preserve"> за спрове</w:t>
      </w:r>
      <w:r w:rsidR="00FA0E5E" w:rsidRPr="007B6B03">
        <w:rPr>
          <w:rFonts w:asciiTheme="minorHAnsi" w:hAnsiTheme="minorHAnsi" w:cstheme="minorHAnsi"/>
          <w:sz w:val="21"/>
          <w:szCs w:val="21"/>
        </w:rPr>
        <w:t>дување на извршување</w:t>
      </w:r>
      <w:r w:rsidRPr="007B6B03">
        <w:rPr>
          <w:rFonts w:asciiTheme="minorHAnsi" w:hAnsiTheme="minorHAnsi" w:cstheme="minorHAnsi"/>
          <w:sz w:val="21"/>
          <w:szCs w:val="21"/>
        </w:rPr>
        <w:t xml:space="preserve"> </w:t>
      </w:r>
      <w:bookmarkStart w:id="22" w:name="VredPredmet"/>
      <w:bookmarkEnd w:id="22"/>
      <w:r w:rsidRPr="007B6B03">
        <w:rPr>
          <w:rFonts w:asciiTheme="minorHAnsi" w:hAnsiTheme="minorHAnsi" w:cstheme="minorHAnsi"/>
          <w:sz w:val="21"/>
          <w:szCs w:val="21"/>
        </w:rPr>
        <w:t xml:space="preserve"> на ден </w:t>
      </w:r>
      <w:bookmarkStart w:id="23" w:name="DatumIzdava"/>
      <w:bookmarkEnd w:id="23"/>
      <w:r w:rsidR="00A90093" w:rsidRPr="007B6B03">
        <w:rPr>
          <w:rFonts w:asciiTheme="minorHAnsi" w:hAnsiTheme="minorHAnsi" w:cstheme="minorHAnsi"/>
          <w:sz w:val="21"/>
          <w:szCs w:val="21"/>
        </w:rPr>
        <w:t>19.05.2023</w:t>
      </w:r>
      <w:r w:rsidRPr="007B6B03">
        <w:rPr>
          <w:rFonts w:asciiTheme="minorHAnsi" w:hAnsiTheme="minorHAnsi" w:cstheme="minorHAnsi"/>
          <w:sz w:val="21"/>
          <w:szCs w:val="21"/>
        </w:rPr>
        <w:t xml:space="preserve"> година го донесува следниот:</w:t>
      </w:r>
    </w:p>
    <w:p w:rsidR="00DF1299" w:rsidRPr="007B6B03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B6B03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7B6B0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</w:t>
      </w:r>
      <w:r w:rsidR="00226087" w:rsidRPr="007B6B03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7B6B0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</w:t>
      </w:r>
    </w:p>
    <w:p w:rsidR="00B51157" w:rsidRPr="007B6B03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B6B03">
        <w:rPr>
          <w:rFonts w:asciiTheme="minorHAnsi" w:hAnsiTheme="minorHAnsi" w:cstheme="minorHAnsi"/>
          <w:b/>
          <w:sz w:val="21"/>
          <w:szCs w:val="21"/>
        </w:rPr>
        <w:t>З А К Л У Ч О К</w:t>
      </w:r>
    </w:p>
    <w:p w:rsidR="00B51157" w:rsidRPr="007B6B03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B6B03">
        <w:rPr>
          <w:rFonts w:asciiTheme="minorHAnsi" w:hAnsiTheme="minorHAnsi" w:cstheme="minorHAnsi"/>
          <w:b/>
          <w:sz w:val="21"/>
          <w:szCs w:val="21"/>
        </w:rPr>
        <w:t>ЗА УСНА ЈАВНА ПРОДАЖБА</w:t>
      </w:r>
    </w:p>
    <w:p w:rsidR="00B51157" w:rsidRPr="007B6B03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7B6B03">
        <w:rPr>
          <w:rFonts w:asciiTheme="minorHAnsi" w:hAnsiTheme="minorHAnsi" w:cstheme="minorHAnsi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7B6B03">
        <w:rPr>
          <w:rFonts w:asciiTheme="minorHAnsi" w:hAnsiTheme="minorHAnsi" w:cstheme="minorHAnsi"/>
          <w:b/>
          <w:bCs/>
          <w:sz w:val="21"/>
          <w:szCs w:val="21"/>
        </w:rPr>
        <w:t>Законот за извршување</w:t>
      </w:r>
      <w:r w:rsidRPr="007B6B03">
        <w:rPr>
          <w:rFonts w:asciiTheme="minorHAnsi" w:hAnsiTheme="minorHAnsi" w:cstheme="minorHAnsi"/>
          <w:b/>
          <w:sz w:val="21"/>
          <w:szCs w:val="21"/>
        </w:rPr>
        <w:t>)</w:t>
      </w:r>
    </w:p>
    <w:p w:rsidR="00DF1299" w:rsidRPr="007B6B03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B6B03">
        <w:rPr>
          <w:rFonts w:asciiTheme="minorHAnsi" w:hAnsiTheme="minorHAnsi" w:cstheme="minorHAnsi"/>
          <w:sz w:val="21"/>
          <w:szCs w:val="21"/>
        </w:rPr>
        <w:t xml:space="preserve"> </w:t>
      </w:r>
    </w:p>
    <w:p w:rsidR="00A90093" w:rsidRPr="007B6B03" w:rsidRDefault="00A90093" w:rsidP="00A90093">
      <w:pPr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СЕ ОПРЕДЕЛУВА  </w:t>
      </w:r>
      <w:r w:rsidRPr="007B6B03">
        <w:rPr>
          <w:rFonts w:asciiTheme="minorHAnsi" w:eastAsia="Times New Roman" w:hAnsiTheme="minorHAnsi" w:cstheme="minorHAnsi"/>
          <w:b/>
          <w:bCs/>
          <w:sz w:val="21"/>
          <w:szCs w:val="21"/>
        </w:rPr>
        <w:t>ПРВА продажба со усно  јавно наддавање</w:t>
      </w: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 на недвижноста означена како:</w:t>
      </w:r>
    </w:p>
    <w:p w:rsidR="00A90093" w:rsidRPr="007B6B03" w:rsidRDefault="00A90093" w:rsidP="00A90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6B03">
        <w:rPr>
          <w:rFonts w:asciiTheme="minorHAnsi" w:hAnsiTheme="minorHAnsi" w:cstheme="minorHAnsi"/>
          <w:sz w:val="21"/>
          <w:szCs w:val="21"/>
        </w:rPr>
        <w:t>гаражно место во затворен простор на ул.Мавровска бр.2, која лежи на КП 8442/1, број на зграда 1, влез 1, кат ПО, број 2, намена ГМЗП, со површина од 13 м2,  со запишано право на сопственост  на заложен должник Ненад Мирчевиќ</w:t>
      </w:r>
      <w:r w:rsidR="007B6B03" w:rsidRPr="007B6B03">
        <w:rPr>
          <w:rFonts w:asciiTheme="minorHAnsi" w:hAnsiTheme="minorHAnsi" w:cstheme="minorHAnsi"/>
          <w:sz w:val="21"/>
          <w:szCs w:val="21"/>
        </w:rPr>
        <w:t xml:space="preserve"> од Скопје</w:t>
      </w:r>
      <w:r w:rsidRPr="007B6B03">
        <w:rPr>
          <w:rFonts w:asciiTheme="minorHAnsi" w:hAnsiTheme="minorHAnsi" w:cstheme="minorHAnsi"/>
          <w:sz w:val="21"/>
          <w:szCs w:val="21"/>
        </w:rPr>
        <w:t xml:space="preserve"> запишана во ИЛ 96472 за КО Ѓорче Петров 6- Ѓорче Петров издаден од Агенција за катастар на недвижности Скопје;</w:t>
      </w:r>
    </w:p>
    <w:p w:rsidR="00A90093" w:rsidRPr="007B6B03" w:rsidRDefault="00A90093" w:rsidP="00A900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7B6B03">
        <w:rPr>
          <w:rFonts w:asciiTheme="minorHAnsi" w:hAnsiTheme="minorHAnsi" w:cstheme="minorHAnsi"/>
          <w:sz w:val="21"/>
          <w:szCs w:val="21"/>
        </w:rPr>
        <w:t>стан  на ул.Мавровска бр.2, која лежи на КП 8442/1, број на зграда 1, влез 1, кат ПР, број 1, намена ст, со површина од 39 м2, запишана во ИЛ 96472 за КО Ѓорче Петров 6- Ѓорче Петров издаден од Агенција за катастар нанедвижности Скопје со запипано право на сопственот на заложниот должник Ненад Мирчевиќ од Скопје</w:t>
      </w:r>
      <w:r w:rsidR="00E57A1A" w:rsidRPr="007B6B03">
        <w:rPr>
          <w:rFonts w:asciiTheme="minorHAnsi" w:hAnsiTheme="minorHAnsi" w:cstheme="minorHAnsi"/>
          <w:sz w:val="21"/>
          <w:szCs w:val="21"/>
        </w:rPr>
        <w:t>.</w:t>
      </w:r>
    </w:p>
    <w:p w:rsidR="00A90093" w:rsidRPr="007B6B03" w:rsidRDefault="00A900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211393" w:rsidRPr="007B6B03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Продажбата ќе се одржи на ден </w:t>
      </w:r>
      <w:r w:rsidR="00A90093"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19.06.2023 </w:t>
      </w: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година во </w:t>
      </w:r>
      <w:r w:rsidR="00A90093"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>12:00</w:t>
      </w:r>
      <w:r w:rsidR="00E57A1A"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</w:t>
      </w: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часот  во просториите на </w:t>
      </w:r>
      <w:r w:rsidR="00A90093" w:rsidRPr="007B6B03">
        <w:rPr>
          <w:rFonts w:asciiTheme="minorHAnsi" w:eastAsia="Times New Roman" w:hAnsiTheme="minorHAnsi" w:cstheme="minorHAnsi"/>
          <w:sz w:val="21"/>
          <w:szCs w:val="21"/>
        </w:rPr>
        <w:t>Извршител Благоја Каламатиев од Скопје на ул.Дебарца бр.25А-1/2 Скопје</w:t>
      </w: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. </w:t>
      </w:r>
    </w:p>
    <w:p w:rsidR="00A90093" w:rsidRPr="007B6B03" w:rsidRDefault="00A900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:rsidR="00A90093" w:rsidRPr="007B6B03" w:rsidRDefault="00A90093" w:rsidP="00A900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Почетната вредност на недвижноста, утврдена со заклучок на извршителот </w:t>
      </w:r>
      <w:r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>Благоја Каламатиев со И.бр.398/2023 од 12.04.2023 година</w:t>
      </w: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 изнесува </w:t>
      </w:r>
      <w:bookmarkStart w:id="24" w:name="_Hlk96416187"/>
      <w:r w:rsidRPr="007B6B03">
        <w:rPr>
          <w:rFonts w:asciiTheme="minorHAnsi" w:hAnsiTheme="minorHAnsi" w:cstheme="minorHAnsi"/>
          <w:sz w:val="21"/>
          <w:szCs w:val="21"/>
        </w:rPr>
        <w:t>2.787.876,00 денари</w:t>
      </w:r>
      <w:bookmarkEnd w:id="24"/>
      <w:r w:rsidRPr="007B6B03">
        <w:rPr>
          <w:rFonts w:asciiTheme="minorHAnsi" w:eastAsia="Times New Roman" w:hAnsiTheme="minorHAnsi" w:cstheme="minorHAnsi"/>
          <w:sz w:val="21"/>
          <w:szCs w:val="21"/>
        </w:rPr>
        <w:t>, под која недвижноста не може да се продаде на првото јавно наддавање.</w:t>
      </w:r>
    </w:p>
    <w:p w:rsidR="00A90093" w:rsidRPr="007B6B03" w:rsidRDefault="00A90093" w:rsidP="00A900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  <w:lang w:val="ru-RU"/>
        </w:rPr>
      </w:pPr>
      <w:r w:rsidRPr="007B6B03">
        <w:rPr>
          <w:rFonts w:asciiTheme="minorHAnsi" w:eastAsia="Times New Roman" w:hAnsiTheme="minorHAnsi" w:cstheme="minorHAnsi"/>
          <w:sz w:val="21"/>
          <w:szCs w:val="21"/>
        </w:rPr>
        <w:t>Недвижноста е оптоварена со следните товари и службености</w:t>
      </w:r>
      <w:r w:rsidR="00BA02AD" w:rsidRPr="007B6B03">
        <w:rPr>
          <w:rFonts w:asciiTheme="minorHAnsi" w:eastAsia="Times New Roman" w:hAnsiTheme="minorHAnsi" w:cstheme="minorHAnsi"/>
          <w:sz w:val="21"/>
          <w:szCs w:val="21"/>
        </w:rPr>
        <w:t>,</w:t>
      </w:r>
      <w:r w:rsidR="00E57A1A" w:rsidRPr="007B6B03">
        <w:rPr>
          <w:rFonts w:asciiTheme="minorHAnsi" w:eastAsia="Times New Roman" w:hAnsiTheme="minorHAnsi" w:cstheme="minorHAnsi"/>
          <w:sz w:val="21"/>
          <w:szCs w:val="21"/>
        </w:rPr>
        <w:t xml:space="preserve"> заложно право -Хипотека под ОДУ бр.</w:t>
      </w:r>
      <w:r w:rsidR="00E57A1A"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>358/18 од 14.05.2018</w:t>
      </w:r>
      <w:r w:rsidR="00BA02AD"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година во корист на Охридска Банка АД Скопје(сега</w:t>
      </w:r>
      <w:r w:rsidR="00BA02AD" w:rsidRPr="007B6B03">
        <w:rPr>
          <w:rFonts w:asciiTheme="minorHAnsi" w:hAnsiTheme="minorHAnsi" w:cstheme="minorHAnsi"/>
          <w:sz w:val="21"/>
          <w:szCs w:val="21"/>
        </w:rPr>
        <w:t xml:space="preserve"> Шпаркасе Банка Македонија АД Скопје) и </w:t>
      </w:r>
      <w:r w:rsidR="00BA02AD" w:rsidRPr="007B6B03">
        <w:rPr>
          <w:rFonts w:asciiTheme="minorHAnsi" w:eastAsia="Times New Roman" w:hAnsiTheme="minorHAnsi" w:cstheme="minorHAnsi"/>
          <w:sz w:val="21"/>
          <w:szCs w:val="21"/>
        </w:rPr>
        <w:t xml:space="preserve">заложно право -Хипотека под </w:t>
      </w:r>
      <w:r w:rsidR="00BA02AD" w:rsidRPr="007B6B03">
        <w:rPr>
          <w:rFonts w:asciiTheme="minorHAnsi" w:hAnsiTheme="minorHAnsi" w:cstheme="minorHAnsi"/>
          <w:sz w:val="21"/>
          <w:szCs w:val="21"/>
        </w:rPr>
        <w:t>Нотарски акт ОДУ бр.713/19 од 22.08.2019 година на Нотар Анита Адамческа од Скопје</w:t>
      </w:r>
      <w:r w:rsidR="00BA02AD"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во корист на Охридска Банка АД Скопје(сега</w:t>
      </w:r>
      <w:r w:rsidR="00BA02AD" w:rsidRPr="007B6B03">
        <w:rPr>
          <w:rFonts w:asciiTheme="minorHAnsi" w:hAnsiTheme="minorHAnsi" w:cstheme="minorHAnsi"/>
          <w:sz w:val="21"/>
          <w:szCs w:val="21"/>
        </w:rPr>
        <w:t xml:space="preserve"> Шпаркасе Банка Македонија АД Скопје).</w:t>
      </w:r>
    </w:p>
    <w:p w:rsidR="00A90093" w:rsidRPr="007B6B03" w:rsidRDefault="00A90093" w:rsidP="00A900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6B03">
        <w:rPr>
          <w:rFonts w:asciiTheme="minorHAnsi" w:eastAsia="Times New Roman" w:hAnsiTheme="minorHAnsi" w:cstheme="minorHAnsi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B6B03">
        <w:rPr>
          <w:rFonts w:asciiTheme="minorHAnsi" w:eastAsia="Times New Roman" w:hAnsiTheme="minorHAnsi" w:cstheme="minorHAnsi"/>
          <w:color w:val="00B050"/>
          <w:sz w:val="21"/>
          <w:szCs w:val="21"/>
        </w:rPr>
        <w:t xml:space="preserve"> </w:t>
      </w:r>
      <w:r w:rsidRPr="007B6B03">
        <w:rPr>
          <w:rFonts w:asciiTheme="minorHAnsi" w:eastAsia="Times New Roman" w:hAnsiTheme="minorHAnsi" w:cstheme="minorHAnsi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90093" w:rsidRPr="007B6B03" w:rsidRDefault="00A90093" w:rsidP="00A900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bookmarkStart w:id="25" w:name="_Hlk96416237"/>
      <w:r w:rsidRPr="007B6B03">
        <w:rPr>
          <w:rFonts w:asciiTheme="minorHAnsi" w:eastAsia="Times New Roman" w:hAnsiTheme="minorHAnsi" w:cstheme="minorHAnsi"/>
          <w:sz w:val="21"/>
          <w:szCs w:val="21"/>
        </w:rPr>
        <w:t>278.788,00 денари</w:t>
      </w:r>
      <w:bookmarkEnd w:id="25"/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. </w:t>
      </w:r>
    </w:p>
    <w:p w:rsidR="00A90093" w:rsidRPr="007B6B03" w:rsidRDefault="00A90093" w:rsidP="00A90093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1"/>
          <w:szCs w:val="21"/>
        </w:rPr>
      </w:pPr>
      <w:r w:rsidRPr="007B6B03">
        <w:rPr>
          <w:rFonts w:asciiTheme="minorHAnsi" w:eastAsia="Times New Roman" w:hAnsiTheme="minorHAnsi" w:cstheme="minorHAnsi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290000001927635 </w:t>
      </w: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која се води кај </w:t>
      </w:r>
      <w:r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>ТТК БАНКА АД</w:t>
      </w: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 и даночен број </w:t>
      </w:r>
      <w:r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5080016506534 </w:t>
      </w:r>
      <w:r w:rsidRPr="007B6B03">
        <w:rPr>
          <w:rFonts w:asciiTheme="minorHAnsi" w:hAnsiTheme="minorHAnsi" w:cstheme="minorHAnsi"/>
          <w:sz w:val="21"/>
          <w:szCs w:val="21"/>
        </w:rPr>
        <w:t xml:space="preserve">најдоцна до ден </w:t>
      </w:r>
      <w:r w:rsidR="00E57A1A" w:rsidRPr="007B6B03">
        <w:rPr>
          <w:rFonts w:asciiTheme="minorHAnsi" w:hAnsiTheme="minorHAnsi" w:cstheme="minorHAnsi"/>
          <w:sz w:val="21"/>
          <w:szCs w:val="21"/>
        </w:rPr>
        <w:t>16.06.2023</w:t>
      </w:r>
      <w:r w:rsidRPr="007B6B03">
        <w:rPr>
          <w:rFonts w:asciiTheme="minorHAnsi" w:hAnsiTheme="minorHAnsi" w:cstheme="minorHAnsi"/>
          <w:sz w:val="21"/>
          <w:szCs w:val="21"/>
        </w:rPr>
        <w:t xml:space="preserve"> година.</w:t>
      </w:r>
    </w:p>
    <w:p w:rsidR="00A90093" w:rsidRPr="007B6B03" w:rsidRDefault="00A90093" w:rsidP="00A900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6B03">
        <w:rPr>
          <w:rFonts w:asciiTheme="minorHAnsi" w:eastAsia="Times New Roman" w:hAnsiTheme="minorHAnsi" w:cstheme="minorHAnsi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90093" w:rsidRPr="007B6B03" w:rsidRDefault="00A90093" w:rsidP="00A900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6B03">
        <w:rPr>
          <w:rFonts w:asciiTheme="minorHAnsi" w:eastAsia="Times New Roman" w:hAnsiTheme="minorHAnsi" w:cstheme="minorHAnsi"/>
          <w:sz w:val="21"/>
          <w:szCs w:val="21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15 </w:t>
      </w:r>
      <w:r w:rsidRPr="007B6B03">
        <w:rPr>
          <w:rFonts w:asciiTheme="minorHAnsi" w:eastAsia="Times New Roman" w:hAnsiTheme="minorHAnsi" w:cstheme="minorHAnsi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90093" w:rsidRPr="007B6B03" w:rsidRDefault="00A90093" w:rsidP="00A900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6B03">
        <w:rPr>
          <w:rFonts w:asciiTheme="minorHAnsi" w:eastAsia="Times New Roman" w:hAnsiTheme="minorHAnsi" w:cstheme="minorHAnsi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7B6B03">
        <w:rPr>
          <w:rFonts w:asciiTheme="minorHAnsi" w:hAnsiTheme="minorHAnsi" w:cstheme="minorHAnsi"/>
          <w:sz w:val="21"/>
          <w:szCs w:val="21"/>
        </w:rPr>
        <w:t>Нова Македонија</w:t>
      </w:r>
      <w:r w:rsidRPr="007B6B03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и електронски на веб страницата на Комората </w:t>
      </w:r>
      <w:r w:rsidRPr="007B6B03">
        <w:rPr>
          <w:rFonts w:asciiTheme="minorHAnsi" w:eastAsia="Times New Roman" w:hAnsiTheme="minorHAnsi" w:cstheme="minorHAnsi"/>
          <w:sz w:val="21"/>
          <w:szCs w:val="21"/>
        </w:rPr>
        <w:t>.</w:t>
      </w:r>
    </w:p>
    <w:p w:rsidR="00A90093" w:rsidRPr="007B6B03" w:rsidRDefault="00A90093" w:rsidP="00A900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7B6B03">
        <w:rPr>
          <w:rFonts w:asciiTheme="minorHAnsi" w:eastAsia="Times New Roman" w:hAnsiTheme="minorHAnsi" w:cstheme="minorHAnsi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90093" w:rsidRPr="007B6B03" w:rsidRDefault="00A90093" w:rsidP="00A900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7B6B03">
        <w:rPr>
          <w:rFonts w:asciiTheme="minorHAnsi" w:hAnsiTheme="minorHAnsi" w:cstheme="minorHAnsi"/>
          <w:sz w:val="21"/>
          <w:szCs w:val="21"/>
        </w:rPr>
        <w:tab/>
      </w:r>
      <w:r w:rsidRPr="007B6B03"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 w:rsidRPr="007B6B03">
        <w:rPr>
          <w:rFonts w:asciiTheme="minorHAnsi" w:hAnsiTheme="minorHAnsi" w:cstheme="minorHAnsi"/>
          <w:sz w:val="21"/>
          <w:szCs w:val="21"/>
        </w:rPr>
        <w:tab/>
        <w:t xml:space="preserve">  </w:t>
      </w:r>
    </w:p>
    <w:p w:rsidR="00B51157" w:rsidRPr="007B6B03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B51157" w:rsidRPr="007B6B03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823825" w:rsidRPr="007B6B03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 w:rsidRPr="007B6B0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</w:t>
      </w:r>
      <w:r w:rsidRPr="007B6B03">
        <w:rPr>
          <w:rFonts w:asciiTheme="minorHAnsi" w:hAnsiTheme="minorHAnsi" w:cstheme="minorHAnsi"/>
          <w:sz w:val="21"/>
          <w:szCs w:val="21"/>
          <w:lang w:val="en-US"/>
        </w:rPr>
        <w:t xml:space="preserve">                           </w:t>
      </w:r>
      <w:r w:rsidRPr="007B6B03">
        <w:rPr>
          <w:rFonts w:asciiTheme="minorHAnsi" w:hAnsiTheme="minorHAnsi" w:cstheme="minorHAnsi"/>
          <w:sz w:val="21"/>
          <w:szCs w:val="21"/>
        </w:rPr>
        <w:t xml:space="preserve"> </w:t>
      </w:r>
      <w:r w:rsidR="00E57A1A" w:rsidRPr="007B6B03">
        <w:rPr>
          <w:rFonts w:asciiTheme="minorHAnsi" w:hAnsiTheme="minorHAnsi" w:cstheme="minorHAnsi"/>
          <w:sz w:val="21"/>
          <w:szCs w:val="21"/>
        </w:rPr>
        <w:t xml:space="preserve">                </w:t>
      </w:r>
      <w:r w:rsidR="007B6B03">
        <w:rPr>
          <w:rFonts w:asciiTheme="minorHAnsi" w:hAnsiTheme="minorHAnsi" w:cstheme="minorHAnsi"/>
          <w:sz w:val="21"/>
          <w:szCs w:val="21"/>
        </w:rPr>
        <w:t xml:space="preserve">          </w:t>
      </w:r>
      <w:bookmarkStart w:id="26" w:name="_GoBack"/>
      <w:bookmarkEnd w:id="26"/>
      <w:r w:rsidR="00E57A1A" w:rsidRPr="007B6B03">
        <w:rPr>
          <w:rFonts w:asciiTheme="minorHAnsi" w:hAnsiTheme="minorHAnsi" w:cstheme="minorHAnsi"/>
          <w:sz w:val="21"/>
          <w:szCs w:val="21"/>
        </w:rPr>
        <w:t xml:space="preserve"> </w:t>
      </w:r>
      <w:r w:rsidRPr="007B6B03">
        <w:rPr>
          <w:rFonts w:asciiTheme="minorHAnsi" w:hAnsiTheme="minorHAnsi" w:cstheme="minorHAnsi"/>
          <w:sz w:val="21"/>
          <w:szCs w:val="21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B6B03" w:rsidTr="009851EC">
        <w:trPr>
          <w:trHeight w:val="851"/>
        </w:trPr>
        <w:tc>
          <w:tcPr>
            <w:tcW w:w="4297" w:type="dxa"/>
          </w:tcPr>
          <w:p w:rsidR="00823825" w:rsidRPr="007B6B03" w:rsidRDefault="00A90093" w:rsidP="009851EC">
            <w:pPr>
              <w:pStyle w:val="BodyText"/>
              <w:jc w:val="center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bookmarkStart w:id="27" w:name="OIzvIme"/>
            <w:bookmarkEnd w:id="27"/>
            <w:r w:rsidRPr="007B6B03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Благоја Каламатиев</w:t>
            </w:r>
          </w:p>
        </w:tc>
      </w:tr>
    </w:tbl>
    <w:p w:rsidR="00823825" w:rsidRPr="007B6B03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:rsidR="00823825" w:rsidRPr="007B6B03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7B6B03">
        <w:rPr>
          <w:rFonts w:asciiTheme="minorHAnsi" w:hAnsiTheme="minorHAnsi" w:cstheme="minorHAnsi"/>
          <w:sz w:val="21"/>
          <w:szCs w:val="21"/>
          <w:lang w:val="en-US"/>
        </w:rPr>
        <w:br w:type="textWrapping" w:clear="all"/>
      </w:r>
      <w:r w:rsidRPr="007B6B03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</w:t>
      </w:r>
    </w:p>
    <w:p w:rsidR="00823825" w:rsidRPr="007B6B03" w:rsidRDefault="00823825" w:rsidP="00823825">
      <w:pPr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B51157" w:rsidRPr="007B6B03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sectPr w:rsidR="00B51157" w:rsidRPr="007B6B03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9E" w:rsidRDefault="007F169E" w:rsidP="00A90093">
      <w:pPr>
        <w:spacing w:after="0" w:line="240" w:lineRule="auto"/>
      </w:pPr>
      <w:r>
        <w:separator/>
      </w:r>
    </w:p>
  </w:endnote>
  <w:endnote w:type="continuationSeparator" w:id="0">
    <w:p w:rsidR="007F169E" w:rsidRDefault="007F169E" w:rsidP="00A9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93" w:rsidRPr="00A90093" w:rsidRDefault="00A90093" w:rsidP="00A9009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B6B0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9E" w:rsidRDefault="007F169E" w:rsidP="00A90093">
      <w:pPr>
        <w:spacing w:after="0" w:line="240" w:lineRule="auto"/>
      </w:pPr>
      <w:r>
        <w:separator/>
      </w:r>
    </w:p>
  </w:footnote>
  <w:footnote w:type="continuationSeparator" w:id="0">
    <w:p w:rsidR="007F169E" w:rsidRDefault="007F169E" w:rsidP="00A90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4F72"/>
    <w:multiLevelType w:val="hybridMultilevel"/>
    <w:tmpl w:val="2D5A37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7B6B03"/>
    <w:rsid w:val="007F169E"/>
    <w:rsid w:val="00823825"/>
    <w:rsid w:val="00847844"/>
    <w:rsid w:val="00853CA5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90093"/>
    <w:rsid w:val="00AE3FFA"/>
    <w:rsid w:val="00B20C15"/>
    <w:rsid w:val="00B269ED"/>
    <w:rsid w:val="00B41890"/>
    <w:rsid w:val="00B51157"/>
    <w:rsid w:val="00B62603"/>
    <w:rsid w:val="00B87F28"/>
    <w:rsid w:val="00BA02AD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57A1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9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0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9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10</cp:lastModifiedBy>
  <cp:revision>5</cp:revision>
  <cp:lastPrinted>2023-05-19T12:54:00Z</cp:lastPrinted>
  <dcterms:created xsi:type="dcterms:W3CDTF">2023-05-19T12:29:00Z</dcterms:created>
  <dcterms:modified xsi:type="dcterms:W3CDTF">2023-05-19T12:59:00Z</dcterms:modified>
</cp:coreProperties>
</file>