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A0B2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D3463D0" w14:textId="77777777" w:rsidTr="009851EC">
        <w:tc>
          <w:tcPr>
            <w:tcW w:w="6204" w:type="dxa"/>
            <w:hideMark/>
          </w:tcPr>
          <w:p w14:paraId="536EC9C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20F6FFF" wp14:editId="3548697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C40579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B6E57A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325D39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8B54D74" w14:textId="77777777" w:rsidTr="009851EC">
        <w:tc>
          <w:tcPr>
            <w:tcW w:w="6204" w:type="dxa"/>
            <w:hideMark/>
          </w:tcPr>
          <w:p w14:paraId="7DE5EF5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91CA39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ABCCBC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7E21E6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5A48066" w14:textId="77777777" w:rsidTr="009851EC">
        <w:tc>
          <w:tcPr>
            <w:tcW w:w="6204" w:type="dxa"/>
            <w:hideMark/>
          </w:tcPr>
          <w:p w14:paraId="3E6934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51113A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2AF99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AB67B4A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1C1ADA46" w14:textId="77777777" w:rsidTr="009851EC">
        <w:tc>
          <w:tcPr>
            <w:tcW w:w="6204" w:type="dxa"/>
            <w:hideMark/>
          </w:tcPr>
          <w:p w14:paraId="72DEC3EF" w14:textId="038A3518" w:rsidR="00823825" w:rsidRPr="00DB4229" w:rsidRDefault="00DA429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670FA3D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E0CED8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015B5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EDB80D0" w14:textId="77777777" w:rsidTr="009851EC">
        <w:tc>
          <w:tcPr>
            <w:tcW w:w="6204" w:type="dxa"/>
            <w:hideMark/>
          </w:tcPr>
          <w:p w14:paraId="4D3480F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243DC1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5F5B3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53A0B97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A4298">
              <w:rPr>
                <w:rFonts w:ascii="Arial" w:eastAsia="Times New Roman" w:hAnsi="Arial" w:cs="Arial"/>
                <w:b/>
                <w:lang w:val="en-US"/>
              </w:rPr>
              <w:t>1316/2025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32D92AE8" w14:textId="77777777" w:rsidTr="009851EC">
        <w:tc>
          <w:tcPr>
            <w:tcW w:w="6204" w:type="dxa"/>
            <w:hideMark/>
          </w:tcPr>
          <w:p w14:paraId="35E9870D" w14:textId="68237F8E" w:rsidR="00823825" w:rsidRPr="00DB4229" w:rsidRDefault="00DA429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5AEECF3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916F5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469331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4EA3280" w14:textId="77777777" w:rsidTr="009851EC">
        <w:tc>
          <w:tcPr>
            <w:tcW w:w="6204" w:type="dxa"/>
            <w:hideMark/>
          </w:tcPr>
          <w:p w14:paraId="504FD94D" w14:textId="453B0B08" w:rsidR="00823825" w:rsidRPr="00DB4229" w:rsidRDefault="00DA429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225042B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1BC42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04151C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B0ABF87" w14:textId="77777777" w:rsidTr="009851EC">
        <w:tc>
          <w:tcPr>
            <w:tcW w:w="6204" w:type="dxa"/>
            <w:hideMark/>
          </w:tcPr>
          <w:p w14:paraId="57A04D16" w14:textId="052308AD" w:rsidR="00823825" w:rsidRPr="00DB4229" w:rsidRDefault="00DA429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3BBA371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1E0F92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EC307A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662A104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0C803C5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4459D4B" w14:textId="7E50F2BB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A4298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DA4298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A4298">
        <w:rPr>
          <w:rFonts w:ascii="Arial" w:hAnsi="Arial" w:cs="Arial"/>
        </w:rPr>
        <w:t>доверителот Ема Проданова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DA4298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bookmarkStart w:id="9" w:name="opis_sed1"/>
      <w:bookmarkEnd w:id="9"/>
      <w:r w:rsidR="00DA4298">
        <w:rPr>
          <w:rFonts w:ascii="Arial" w:hAnsi="Arial" w:cs="Arial"/>
        </w:rPr>
        <w:t xml:space="preserve">и 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DA4298">
        <w:rPr>
          <w:rFonts w:ascii="Arial" w:hAnsi="Arial" w:cs="Arial"/>
        </w:rPr>
        <w:t>Пржино бр. 36А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A4298">
        <w:rPr>
          <w:rFonts w:ascii="Arial" w:hAnsi="Arial" w:cs="Arial"/>
        </w:rPr>
        <w:t>ОДУ бр. 562/14 од 18.09.2014 година на Нотар Максуд Мексуд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A4298">
        <w:rPr>
          <w:rFonts w:ascii="Arial" w:hAnsi="Arial" w:cs="Arial"/>
        </w:rPr>
        <w:t>должникот 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DA4298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DA4298">
        <w:rPr>
          <w:rFonts w:ascii="Arial" w:hAnsi="Arial" w:cs="Arial"/>
        </w:rPr>
        <w:t>ЕДБ 4030004508700 и ЕМБС 5846960</w:t>
      </w:r>
      <w:r w:rsidRPr="00823825">
        <w:rPr>
          <w:rFonts w:ascii="Arial" w:hAnsi="Arial" w:cs="Arial"/>
          <w:lang w:val="ru-RU"/>
        </w:rPr>
        <w:t xml:space="preserve"> </w:t>
      </w:r>
      <w:bookmarkStart w:id="19" w:name="edb1_dolz"/>
      <w:bookmarkEnd w:id="19"/>
      <w:r w:rsidRPr="00823825">
        <w:rPr>
          <w:rFonts w:ascii="Arial" w:hAnsi="Arial" w:cs="Arial"/>
          <w:lang w:val="ru-RU"/>
        </w:rPr>
        <w:t xml:space="preserve"> </w:t>
      </w:r>
      <w:bookmarkStart w:id="20" w:name="embs_dolz"/>
      <w:bookmarkEnd w:id="20"/>
      <w:r w:rsidRPr="00823825">
        <w:rPr>
          <w:rFonts w:ascii="Arial" w:hAnsi="Arial" w:cs="Arial"/>
          <w:lang w:val="ru-RU"/>
        </w:rPr>
        <w:t xml:space="preserve"> </w:t>
      </w:r>
      <w:bookmarkStart w:id="21" w:name="opis_sed1_dolz"/>
      <w:bookmarkEnd w:id="21"/>
      <w:r w:rsidR="00DA4298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2" w:name="adresa1_dolz"/>
      <w:bookmarkEnd w:id="22"/>
      <w:r w:rsidR="00DA4298">
        <w:rPr>
          <w:rFonts w:ascii="Arial" w:hAnsi="Arial" w:cs="Arial"/>
        </w:rPr>
        <w:t>Благоја Стефковски 8/10 Гази Баба</w:t>
      </w:r>
      <w:r w:rsidRPr="00823825">
        <w:rPr>
          <w:rFonts w:ascii="Arial" w:hAnsi="Arial" w:cs="Arial"/>
        </w:rPr>
        <w:t xml:space="preserve">, </w:t>
      </w:r>
      <w:bookmarkStart w:id="23" w:name="Dolznik2"/>
      <w:bookmarkEnd w:id="23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4" w:name="VredPredmet"/>
      <w:bookmarkEnd w:id="24"/>
      <w:r w:rsidR="00DA4298">
        <w:rPr>
          <w:rFonts w:ascii="Arial" w:hAnsi="Arial" w:cs="Arial"/>
        </w:rPr>
        <w:t>Друштво за производство и трговија ЦД ФРУИТ ДООЕЛ експорт-импорт Скопје - во стечај</w:t>
      </w:r>
      <w:r w:rsidRPr="00823825">
        <w:rPr>
          <w:rFonts w:ascii="Arial" w:hAnsi="Arial" w:cs="Arial"/>
        </w:rPr>
        <w:t xml:space="preserve"> </w:t>
      </w:r>
      <w:r w:rsidR="00DA4298">
        <w:rPr>
          <w:rFonts w:ascii="Arial" w:hAnsi="Arial" w:cs="Arial"/>
        </w:rPr>
        <w:t xml:space="preserve">16.109.202,00 </w:t>
      </w:r>
      <w:r w:rsidRPr="00823825">
        <w:rPr>
          <w:rFonts w:ascii="Arial" w:hAnsi="Arial" w:cs="Arial"/>
        </w:rPr>
        <w:t xml:space="preserve">денари на ден </w:t>
      </w:r>
      <w:bookmarkStart w:id="25" w:name="DatumIzdava"/>
      <w:bookmarkEnd w:id="25"/>
      <w:r w:rsidR="00DA4298">
        <w:rPr>
          <w:rFonts w:ascii="Arial" w:hAnsi="Arial" w:cs="Arial"/>
        </w:rPr>
        <w:t>29.08.2025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3DB0227C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927B98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40538A5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075B128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42B62E61" w14:textId="75A30E94"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6F878E" w14:textId="77777777" w:rsidR="00DA4298" w:rsidRDefault="0021139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СЕ ОПРЕДЕЛУВА  продажба со усно  јавно наддавање на недвижноста означена како:</w:t>
      </w:r>
    </w:p>
    <w:p w14:paraId="3CB0351E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b/>
          <w:bCs/>
          <w:sz w:val="20"/>
          <w:szCs w:val="20"/>
        </w:rPr>
        <w:t xml:space="preserve">ИЛ 1647 КО Царев Двор </w:t>
      </w:r>
    </w:p>
    <w:p w14:paraId="4EF29444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СОПСТВЕНИЦИ</w:t>
      </w:r>
    </w:p>
    <w:tbl>
      <w:tblPr>
        <w:tblW w:w="102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4232"/>
        <w:gridCol w:w="1267"/>
        <w:gridCol w:w="2136"/>
        <w:gridCol w:w="875"/>
        <w:gridCol w:w="867"/>
      </w:tblGrid>
      <w:tr w:rsidR="00DA4298" w:rsidRPr="00085599" w14:paraId="6D4FCD85" w14:textId="77777777" w:rsidTr="003B6CC7">
        <w:trPr>
          <w:trHeight w:val="539"/>
        </w:trPr>
        <w:tc>
          <w:tcPr>
            <w:tcW w:w="0" w:type="auto"/>
            <w:shd w:val="clear" w:color="auto" w:fill="72C6A3"/>
            <w:vAlign w:val="center"/>
            <w:hideMark/>
          </w:tcPr>
          <w:p w14:paraId="4B2EE2C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0BE9940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1267" w:type="dxa"/>
            <w:shd w:val="clear" w:color="auto" w:fill="72C6A3"/>
            <w:vAlign w:val="center"/>
            <w:hideMark/>
          </w:tcPr>
          <w:p w14:paraId="0B0A057E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2136" w:type="dxa"/>
            <w:shd w:val="clear" w:color="auto" w:fill="72C6A3"/>
            <w:vAlign w:val="center"/>
            <w:hideMark/>
          </w:tcPr>
          <w:p w14:paraId="1A817311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875" w:type="dxa"/>
            <w:shd w:val="clear" w:color="auto" w:fill="72C6A3"/>
            <w:vAlign w:val="center"/>
            <w:hideMark/>
          </w:tcPr>
          <w:p w14:paraId="732800CE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0B3D06D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DA4298" w:rsidRPr="00085599" w14:paraId="45DDF4F3" w14:textId="77777777" w:rsidTr="003B6CC7">
        <w:trPr>
          <w:trHeight w:val="793"/>
        </w:trPr>
        <w:tc>
          <w:tcPr>
            <w:tcW w:w="0" w:type="auto"/>
            <w:shd w:val="clear" w:color="auto" w:fill="FFFFFF"/>
            <w:vAlign w:val="center"/>
            <w:hideMark/>
          </w:tcPr>
          <w:p w14:paraId="298C650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D4F6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C1EA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2136" w:type="dxa"/>
            <w:shd w:val="clear" w:color="auto" w:fill="FFFFFF"/>
            <w:vAlign w:val="center"/>
            <w:hideMark/>
          </w:tcPr>
          <w:p w14:paraId="5520A64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  <w:r w:rsidRPr="000855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14:paraId="6098328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D685F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1/1</w:t>
            </w:r>
          </w:p>
        </w:tc>
      </w:tr>
    </w:tbl>
    <w:p w14:paraId="6F0AEC29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281"/>
        <w:gridCol w:w="2524"/>
        <w:gridCol w:w="749"/>
        <w:gridCol w:w="1492"/>
        <w:gridCol w:w="2483"/>
        <w:gridCol w:w="136"/>
      </w:tblGrid>
      <w:tr w:rsidR="00DA4298" w:rsidRPr="00085599" w14:paraId="61594277" w14:textId="77777777" w:rsidTr="003B6CC7">
        <w:trPr>
          <w:trHeight w:val="2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1112D19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19FF488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18E1F2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44D4F1D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4E0FDCD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6757B7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40E3D7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DA4298" w:rsidRPr="00085599" w14:paraId="57D62DA9" w14:textId="77777777" w:rsidTr="003B6CC7">
        <w:trPr>
          <w:trHeight w:val="2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7C4A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FB99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1148/2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0CDC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Овоштарници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2E39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3471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612C2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ГРАДНИК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8E03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EF63D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5B8FE7B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0773C6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b/>
          <w:bCs/>
          <w:sz w:val="20"/>
          <w:szCs w:val="20"/>
        </w:rPr>
        <w:t xml:space="preserve">Дел од 1/3  од ИЛ 1568 КО Царев Двор </w:t>
      </w:r>
    </w:p>
    <w:p w14:paraId="49F14A85" w14:textId="4436F4DC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</w:rPr>
        <w:t>С</w:t>
      </w:r>
      <w:r>
        <w:rPr>
          <w:rFonts w:ascii="Arial" w:hAnsi="Arial" w:cs="Arial"/>
          <w:b/>
          <w:bCs/>
          <w:sz w:val="20"/>
          <w:szCs w:val="20"/>
        </w:rPr>
        <w:t>О</w:t>
      </w: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ПСТВЕНИЦИ</w:t>
      </w:r>
    </w:p>
    <w:tbl>
      <w:tblPr>
        <w:tblW w:w="105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5586"/>
        <w:gridCol w:w="824"/>
        <w:gridCol w:w="1873"/>
        <w:gridCol w:w="420"/>
        <w:gridCol w:w="934"/>
      </w:tblGrid>
      <w:tr w:rsidR="00DA4298" w:rsidRPr="00085599" w14:paraId="735C6AC3" w14:textId="77777777" w:rsidTr="003B6CC7">
        <w:trPr>
          <w:trHeight w:val="447"/>
        </w:trPr>
        <w:tc>
          <w:tcPr>
            <w:tcW w:w="0" w:type="auto"/>
            <w:shd w:val="clear" w:color="auto" w:fill="72C6A3"/>
            <w:vAlign w:val="center"/>
            <w:hideMark/>
          </w:tcPr>
          <w:p w14:paraId="48C4B71E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DB1DBD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B4B3D5D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407E017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D0ADC44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64B0F2B8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DA4298" w:rsidRPr="00085599" w14:paraId="52F8D7F7" w14:textId="77777777" w:rsidTr="003B6CC7">
        <w:trPr>
          <w:trHeight w:val="658"/>
        </w:trPr>
        <w:tc>
          <w:tcPr>
            <w:tcW w:w="0" w:type="auto"/>
            <w:shd w:val="clear" w:color="auto" w:fill="FFFFFF"/>
            <w:vAlign w:val="center"/>
            <w:hideMark/>
          </w:tcPr>
          <w:p w14:paraId="3B78A69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BAA20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A5B1A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5C73D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19645A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2B877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1/3</w:t>
            </w:r>
          </w:p>
        </w:tc>
      </w:tr>
      <w:tr w:rsidR="00DA4298" w:rsidRPr="00085599" w14:paraId="52318333" w14:textId="77777777" w:rsidTr="003B6CC7">
        <w:trPr>
          <w:trHeight w:val="223"/>
        </w:trPr>
        <w:tc>
          <w:tcPr>
            <w:tcW w:w="0" w:type="auto"/>
            <w:shd w:val="clear" w:color="auto" w:fill="FFFFFF"/>
            <w:vAlign w:val="center"/>
            <w:hideMark/>
          </w:tcPr>
          <w:p w14:paraId="2F82029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AF96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МИШЕВСКА МИЛИЦА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DEED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РЕСЕН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1219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УЛ.5-ТА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E3B75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FD51A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2/3</w:t>
            </w:r>
          </w:p>
        </w:tc>
      </w:tr>
    </w:tbl>
    <w:p w14:paraId="50832314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1E59127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6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1162"/>
        <w:gridCol w:w="2290"/>
        <w:gridCol w:w="680"/>
        <w:gridCol w:w="2069"/>
        <w:gridCol w:w="2683"/>
        <w:gridCol w:w="123"/>
      </w:tblGrid>
      <w:tr w:rsidR="00DA4298" w:rsidRPr="00085599" w14:paraId="04F72AA0" w14:textId="77777777" w:rsidTr="003B6CC7">
        <w:trPr>
          <w:trHeight w:val="4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EFE6BA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1756B8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0AB870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F6878C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5EE4494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0C9E8B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CF16D33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DA4298" w:rsidRPr="00085599" w14:paraId="00187896" w14:textId="77777777" w:rsidTr="003B6CC7">
        <w:trPr>
          <w:trHeight w:val="49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B019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0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8999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1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8A48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Овоштарници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D6A4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3289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2C9F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ГОЛЕШАНИЦА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B9820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7B35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5D6D3C1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674F8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23E1D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E4774A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C1170B" w14:textId="77777777" w:rsidR="00DA4298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DCD92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5599">
        <w:rPr>
          <w:rFonts w:ascii="Arial" w:hAnsi="Arial" w:cs="Arial"/>
          <w:sz w:val="20"/>
          <w:szCs w:val="20"/>
        </w:rPr>
        <w:t xml:space="preserve"> </w:t>
      </w:r>
      <w:r w:rsidRPr="00085599">
        <w:rPr>
          <w:rFonts w:ascii="Arial" w:hAnsi="Arial" w:cs="Arial"/>
          <w:b/>
          <w:bCs/>
          <w:sz w:val="20"/>
          <w:szCs w:val="20"/>
        </w:rPr>
        <w:t>Дел од 161/1343  од ИЛ 1017 КО ДРМЕНИ</w:t>
      </w:r>
    </w:p>
    <w:p w14:paraId="6FE44C4D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СОПСТВЕНИЦИ</w:t>
      </w:r>
    </w:p>
    <w:tbl>
      <w:tblPr>
        <w:tblW w:w="106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5393"/>
        <w:gridCol w:w="824"/>
        <w:gridCol w:w="1667"/>
        <w:gridCol w:w="726"/>
        <w:gridCol w:w="1115"/>
      </w:tblGrid>
      <w:tr w:rsidR="00DA4298" w:rsidRPr="00085599" w14:paraId="469C15DB" w14:textId="77777777" w:rsidTr="003B6CC7">
        <w:trPr>
          <w:trHeight w:val="455"/>
        </w:trPr>
        <w:tc>
          <w:tcPr>
            <w:tcW w:w="0" w:type="auto"/>
            <w:shd w:val="clear" w:color="auto" w:fill="72C6A3"/>
            <w:vAlign w:val="center"/>
            <w:hideMark/>
          </w:tcPr>
          <w:p w14:paraId="24502654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имотен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1DB1DD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презиме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3E1472D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1667" w:type="dxa"/>
            <w:shd w:val="clear" w:color="auto" w:fill="72C6A3"/>
            <w:vAlign w:val="center"/>
            <w:hideMark/>
          </w:tcPr>
          <w:p w14:paraId="31872CC7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726" w:type="dxa"/>
            <w:shd w:val="clear" w:color="auto" w:fill="72C6A3"/>
            <w:vAlign w:val="center"/>
            <w:hideMark/>
          </w:tcPr>
          <w:p w14:paraId="29CD9361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4E9BB5D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DA4298" w:rsidRPr="00085599" w14:paraId="58C10C53" w14:textId="77777777" w:rsidTr="003B6CC7">
        <w:trPr>
          <w:trHeight w:val="897"/>
        </w:trPr>
        <w:tc>
          <w:tcPr>
            <w:tcW w:w="0" w:type="auto"/>
            <w:shd w:val="clear" w:color="auto" w:fill="FFFFFF"/>
            <w:vAlign w:val="center"/>
            <w:hideMark/>
          </w:tcPr>
          <w:p w14:paraId="6CFF4C18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17373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ДРУШТВО ЗА ПРОИЗВОДСТВО И ТРГОВИЈА ЦД ФРУИТ ДООЕЛ ЕКСПОРТ - ИМПОРТ СКОПЈЕ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F2F8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СКОПЈЕ</w:t>
            </w:r>
          </w:p>
        </w:tc>
        <w:tc>
          <w:tcPr>
            <w:tcW w:w="1667" w:type="dxa"/>
            <w:shd w:val="clear" w:color="auto" w:fill="FFFFFF"/>
            <w:vAlign w:val="center"/>
            <w:hideMark/>
          </w:tcPr>
          <w:p w14:paraId="1DBFE88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БЛАГОЈА СТЕВКОВСКИ</w:t>
            </w:r>
          </w:p>
        </w:tc>
        <w:tc>
          <w:tcPr>
            <w:tcW w:w="726" w:type="dxa"/>
            <w:shd w:val="clear" w:color="auto" w:fill="FFFFFF"/>
            <w:vAlign w:val="center"/>
            <w:hideMark/>
          </w:tcPr>
          <w:p w14:paraId="66482E4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8/10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242C36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161/1343</w:t>
            </w:r>
          </w:p>
        </w:tc>
      </w:tr>
      <w:tr w:rsidR="00DA4298" w:rsidRPr="00085599" w14:paraId="6375BE7F" w14:textId="77777777" w:rsidTr="003B6CC7">
        <w:trPr>
          <w:trHeight w:val="455"/>
        </w:trPr>
        <w:tc>
          <w:tcPr>
            <w:tcW w:w="0" w:type="auto"/>
            <w:shd w:val="clear" w:color="auto" w:fill="FFFFFF"/>
            <w:vAlign w:val="center"/>
            <w:hideMark/>
          </w:tcPr>
          <w:p w14:paraId="0102BDF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1017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EA98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РЕПУБЛИКА СЕВЕРНА МАКЕДОНИЈА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BC451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67" w:type="dxa"/>
            <w:shd w:val="clear" w:color="auto" w:fill="FFFFFF"/>
            <w:vAlign w:val="center"/>
            <w:hideMark/>
          </w:tcPr>
          <w:p w14:paraId="44A735E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26" w:type="dxa"/>
            <w:shd w:val="clear" w:color="auto" w:fill="FFFFFF"/>
            <w:vAlign w:val="center"/>
            <w:hideMark/>
          </w:tcPr>
          <w:p w14:paraId="5DCC075B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43147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1182/1343</w:t>
            </w:r>
          </w:p>
        </w:tc>
      </w:tr>
    </w:tbl>
    <w:p w14:paraId="371A0C3E" w14:textId="77777777" w:rsidR="00DA4298" w:rsidRPr="00085599" w:rsidRDefault="00DA4298" w:rsidP="00DA42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085599">
        <w:rPr>
          <w:rFonts w:ascii="Arial" w:hAnsi="Arial" w:cs="Arial"/>
          <w:b/>
          <w:bCs/>
          <w:sz w:val="20"/>
          <w:szCs w:val="20"/>
          <w:lang w:val="en-US"/>
        </w:rPr>
        <w:t>ПАРЦЕЛИ</w:t>
      </w:r>
    </w:p>
    <w:tbl>
      <w:tblPr>
        <w:tblW w:w="106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410"/>
        <w:gridCol w:w="1991"/>
        <w:gridCol w:w="825"/>
        <w:gridCol w:w="1033"/>
        <w:gridCol w:w="3254"/>
        <w:gridCol w:w="149"/>
      </w:tblGrid>
      <w:tr w:rsidR="00DA4298" w:rsidRPr="00085599" w14:paraId="2349BB99" w14:textId="77777777" w:rsidTr="003B6CC7">
        <w:trPr>
          <w:trHeight w:val="2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D5474E5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C15753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E3FB5B2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D2A5643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C3C380E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D3F6AB3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54ED00E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DA4298" w:rsidRPr="00085599" w14:paraId="41BD1663" w14:textId="77777777" w:rsidTr="003B6CC7">
        <w:trPr>
          <w:trHeight w:val="2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EB033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2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1174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A89A3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3" w:history="1">
              <w:r w:rsidRPr="00085599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1174/2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F2EBF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 xml:space="preserve">к </w:t>
            </w:r>
            <w:proofErr w:type="spellStart"/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Камењари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12B09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1251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C9CFC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F498A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5599">
              <w:rPr>
                <w:rFonts w:ascii="Arial" w:hAnsi="Arial" w:cs="Arial"/>
                <w:sz w:val="20"/>
                <w:szCs w:val="20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4EC61" w14:textId="77777777" w:rsidR="00DA4298" w:rsidRPr="00085599" w:rsidRDefault="00DA4298" w:rsidP="003B6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F8AF3E" w14:textId="351AFD2D" w:rsidR="00DA4298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 </w:t>
      </w:r>
    </w:p>
    <w:p w14:paraId="621E0F56" w14:textId="1AF6C904" w:rsidR="00211393" w:rsidRPr="00211393" w:rsidRDefault="00211393" w:rsidP="00211393">
      <w:pPr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сопственост на должникот </w:t>
      </w:r>
      <w:r w:rsidR="00DA4298" w:rsidRPr="00DA4298">
        <w:rPr>
          <w:rFonts w:ascii="Arial" w:eastAsia="Times New Roman" w:hAnsi="Arial" w:cs="Arial"/>
          <w:lang w:val="ru-RU"/>
        </w:rPr>
        <w:t>Друштво за производство и трговија ЦД ФРУИТ ДООЕЛ експорт-импорт Скопје - во стечај од Скопје</w:t>
      </w:r>
      <w:r w:rsidRPr="00211393">
        <w:rPr>
          <w:rFonts w:ascii="Arial" w:eastAsia="Times New Roman" w:hAnsi="Arial" w:cs="Arial"/>
          <w:lang w:val="ru-RU"/>
        </w:rPr>
        <w:t>.</w:t>
      </w:r>
    </w:p>
    <w:p w14:paraId="363F36C0" w14:textId="3CF09C25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DA4298">
        <w:rPr>
          <w:rFonts w:ascii="Arial" w:eastAsia="Times New Roman" w:hAnsi="Arial" w:cs="Arial"/>
          <w:lang w:val="ru-RU"/>
        </w:rPr>
        <w:t xml:space="preserve">17.09.2025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DA4298">
        <w:rPr>
          <w:rFonts w:ascii="Arial" w:eastAsia="Times New Roman" w:hAnsi="Arial" w:cs="Arial"/>
          <w:lang w:val="ru-RU"/>
        </w:rPr>
        <w:t xml:space="preserve">14:00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DA4298">
        <w:rPr>
          <w:rFonts w:ascii="Arial" w:eastAsia="Times New Roman" w:hAnsi="Arial" w:cs="Arial"/>
          <w:lang w:val="ru-RU"/>
        </w:rPr>
        <w:t>канцеларија на Извршител Димитар Ѓоршевски во Битола</w:t>
      </w:r>
      <w:r w:rsidRPr="00211393">
        <w:rPr>
          <w:rFonts w:ascii="Arial" w:eastAsia="Times New Roman" w:hAnsi="Arial" w:cs="Arial"/>
        </w:rPr>
        <w:t xml:space="preserve">. </w:t>
      </w:r>
    </w:p>
    <w:p w14:paraId="6170627D" w14:textId="77777777" w:rsidR="00DA4298" w:rsidRPr="00211393" w:rsidRDefault="00DA42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2243BCB" w14:textId="1DD3A627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Почетната вредност на недвижност</w:t>
      </w:r>
      <w:r w:rsidR="00CE7B85">
        <w:rPr>
          <w:rFonts w:ascii="Arial" w:eastAsia="Times New Roman" w:hAnsi="Arial" w:cs="Arial"/>
        </w:rPr>
        <w:t>ите</w:t>
      </w:r>
      <w:r w:rsidRPr="00211393">
        <w:rPr>
          <w:rFonts w:ascii="Arial" w:eastAsia="Times New Roman" w:hAnsi="Arial" w:cs="Arial"/>
        </w:rPr>
        <w:t xml:space="preserve">, утврдена со заклучок на извршителот </w:t>
      </w:r>
      <w:r w:rsidR="00DA4298">
        <w:rPr>
          <w:rFonts w:ascii="Arial" w:eastAsia="Times New Roman" w:hAnsi="Arial" w:cs="Arial"/>
          <w:lang w:val="ru-RU"/>
        </w:rPr>
        <w:t>Димитар Ѓоршевски</w:t>
      </w:r>
      <w:r w:rsidRPr="00211393">
        <w:rPr>
          <w:rFonts w:ascii="Arial" w:eastAsia="Times New Roman" w:hAnsi="Arial" w:cs="Arial"/>
        </w:rPr>
        <w:t xml:space="preserve">,  </w:t>
      </w:r>
      <w:r w:rsidR="00572285">
        <w:rPr>
          <w:rFonts w:ascii="Arial" w:eastAsia="Times New Roman" w:hAnsi="Arial" w:cs="Arial"/>
        </w:rPr>
        <w:t>во вкупен износ од</w:t>
      </w:r>
      <w:r w:rsidR="00DA4298">
        <w:rPr>
          <w:rFonts w:ascii="Arial" w:eastAsia="Times New Roman" w:hAnsi="Arial" w:cs="Arial"/>
          <w:lang w:val="ru-RU"/>
        </w:rPr>
        <w:t xml:space="preserve"> 832.140,00 </w:t>
      </w:r>
      <w:r w:rsidRPr="00211393">
        <w:rPr>
          <w:rFonts w:ascii="Arial" w:eastAsia="Times New Roman" w:hAnsi="Arial" w:cs="Arial"/>
        </w:rPr>
        <w:t xml:space="preserve">денари, под која </w:t>
      </w:r>
      <w:r w:rsidR="00CE7B85">
        <w:rPr>
          <w:rFonts w:ascii="Arial" w:eastAsia="Times New Roman" w:hAnsi="Arial" w:cs="Arial"/>
        </w:rPr>
        <w:t>истите</w:t>
      </w:r>
      <w:r w:rsidRPr="00211393">
        <w:rPr>
          <w:rFonts w:ascii="Arial" w:eastAsia="Times New Roman" w:hAnsi="Arial" w:cs="Arial"/>
        </w:rPr>
        <w:t xml:space="preserve"> не може да се прода</w:t>
      </w:r>
      <w:r w:rsidR="00CE7B85">
        <w:rPr>
          <w:rFonts w:ascii="Arial" w:eastAsia="Times New Roman" w:hAnsi="Arial" w:cs="Arial"/>
        </w:rPr>
        <w:t>дат</w:t>
      </w:r>
      <w:r w:rsidRPr="00211393">
        <w:rPr>
          <w:rFonts w:ascii="Arial" w:eastAsia="Times New Roman" w:hAnsi="Arial" w:cs="Arial"/>
        </w:rPr>
        <w:t xml:space="preserve"> на првото јавно наддавање</w:t>
      </w:r>
      <w:r w:rsidR="00572285">
        <w:rPr>
          <w:rFonts w:ascii="Arial" w:eastAsia="Times New Roman" w:hAnsi="Arial" w:cs="Arial"/>
        </w:rPr>
        <w:t xml:space="preserve"> или поединечно:</w:t>
      </w:r>
    </w:p>
    <w:p w14:paraId="50AE9BBF" w14:textId="77777777" w:rsidR="00572285" w:rsidRDefault="0057228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6B0ECB3" w14:textId="2C7ACA80" w:rsidR="00572285" w:rsidRPr="00CE7B85" w:rsidRDefault="0057228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ИЛ 1647 КО Царев Двор</w:t>
      </w:r>
      <w:r>
        <w:rPr>
          <w:rFonts w:ascii="Arial" w:eastAsia="Times New Roman" w:hAnsi="Arial" w:cs="Arial"/>
        </w:rPr>
        <w:t xml:space="preserve"> со износ од 562.302,00 денари</w:t>
      </w:r>
      <w:r w:rsidR="00CE7B85">
        <w:rPr>
          <w:rFonts w:ascii="Arial" w:eastAsia="Times New Roman" w:hAnsi="Arial" w:cs="Arial"/>
        </w:rPr>
        <w:t xml:space="preserve"> ( КП 1148/2 култура Овоштарници во површина од 2471 </w:t>
      </w:r>
      <w:r w:rsidR="00CE7B85" w:rsidRPr="00085599">
        <w:rPr>
          <w:rFonts w:ascii="Arial" w:hAnsi="Arial" w:cs="Arial"/>
          <w:sz w:val="20"/>
          <w:szCs w:val="20"/>
          <w:lang w:val="en-US"/>
        </w:rPr>
        <w:t>m'2</w:t>
      </w:r>
      <w:r w:rsidR="00CE7B85">
        <w:rPr>
          <w:rFonts w:ascii="Arial" w:hAnsi="Arial" w:cs="Arial"/>
          <w:sz w:val="20"/>
          <w:szCs w:val="20"/>
        </w:rPr>
        <w:t xml:space="preserve"> во место викано Градник ),</w:t>
      </w:r>
    </w:p>
    <w:p w14:paraId="7CA15841" w14:textId="7DB75475" w:rsidR="00572285" w:rsidRDefault="0057228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Дел од 1/3  од ИЛ 1568 КО Царев Двор</w:t>
      </w:r>
      <w:r>
        <w:rPr>
          <w:rFonts w:ascii="Arial" w:eastAsia="Times New Roman" w:hAnsi="Arial" w:cs="Arial"/>
        </w:rPr>
        <w:t xml:space="preserve"> со износ од 177.606,00 денари</w:t>
      </w:r>
      <w:r w:rsidR="00CE7B85">
        <w:rPr>
          <w:rFonts w:ascii="Arial" w:eastAsia="Times New Roman" w:hAnsi="Arial" w:cs="Arial"/>
        </w:rPr>
        <w:t>,</w:t>
      </w:r>
    </w:p>
    <w:p w14:paraId="1E16C182" w14:textId="5C084E54" w:rsidR="00572285" w:rsidRDefault="00572285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Pr="00572285">
        <w:t xml:space="preserve"> </w:t>
      </w:r>
      <w:r w:rsidRPr="00572285">
        <w:rPr>
          <w:rFonts w:ascii="Arial" w:eastAsia="Times New Roman" w:hAnsi="Arial" w:cs="Arial"/>
        </w:rPr>
        <w:t>Дел од 161/1343  од ИЛ 1017 КО ДРМЕНИ</w:t>
      </w:r>
      <w:r>
        <w:rPr>
          <w:rFonts w:ascii="Arial" w:eastAsia="Times New Roman" w:hAnsi="Arial" w:cs="Arial"/>
        </w:rPr>
        <w:t xml:space="preserve"> со износ од 92.232,00 денари.</w:t>
      </w:r>
    </w:p>
    <w:p w14:paraId="3D491487" w14:textId="77777777" w:rsidR="00DA4298" w:rsidRPr="00211393" w:rsidRDefault="00DA42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DAF32DB" w14:textId="153EBC99" w:rsidR="00572285" w:rsidRDefault="00211393" w:rsidP="005722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</w:t>
      </w:r>
      <w:r w:rsidR="00DA4298">
        <w:rPr>
          <w:rFonts w:ascii="Arial" w:eastAsia="Times New Roman" w:hAnsi="Arial" w:cs="Arial"/>
        </w:rPr>
        <w:t>и:</w:t>
      </w:r>
    </w:p>
    <w:p w14:paraId="49F97600" w14:textId="53E80392" w:rsidR="00DA4298" w:rsidRDefault="00DA42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-хипотека во корист на заложниот доверител Проданова Ема врз основа на нотарски акт – Договор за залог по ОДУ 562/14 од 18.09.2014 година на нотар Максуд Мексуд</w:t>
      </w:r>
      <w:r w:rsidR="00572285">
        <w:rPr>
          <w:rFonts w:ascii="Arial" w:eastAsia="Times New Roman" w:hAnsi="Arial" w:cs="Arial"/>
        </w:rPr>
        <w:t xml:space="preserve"> од Ресен,</w:t>
      </w:r>
    </w:p>
    <w:p w14:paraId="3C8ED0FE" w14:textId="2B68965A" w:rsidR="00DA4298" w:rsidRDefault="00DA42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-налог за извршување и.бр 1245/2017 </w:t>
      </w:r>
      <w:r w:rsidR="00572285">
        <w:rPr>
          <w:rFonts w:ascii="Arial" w:eastAsia="Times New Roman" w:hAnsi="Arial" w:cs="Arial"/>
        </w:rPr>
        <w:t>од</w:t>
      </w:r>
      <w:r>
        <w:rPr>
          <w:rFonts w:ascii="Arial" w:eastAsia="Times New Roman" w:hAnsi="Arial" w:cs="Arial"/>
        </w:rPr>
        <w:t xml:space="preserve"> Извршител Моника Муча</w:t>
      </w:r>
      <w:r w:rsidR="00572285">
        <w:rPr>
          <w:rFonts w:ascii="Arial" w:eastAsia="Times New Roman" w:hAnsi="Arial" w:cs="Arial"/>
        </w:rPr>
        <w:t xml:space="preserve"> од Скопје,</w:t>
      </w:r>
    </w:p>
    <w:p w14:paraId="4E025426" w14:textId="77777777" w:rsidR="00572285" w:rsidRDefault="00DA4298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со пристапување</w:t>
      </w:r>
      <w:r w:rsidR="00572285">
        <w:rPr>
          <w:rFonts w:ascii="Arial" w:eastAsia="Times New Roman" w:hAnsi="Arial" w:cs="Arial"/>
        </w:rPr>
        <w:t xml:space="preserve"> и.бр 457/2017 од Извршител Александар Пулејков од Скопје,</w:t>
      </w:r>
    </w:p>
    <w:p w14:paraId="3131D3F6" w14:textId="4EBB762F" w:rsidR="00572285" w:rsidRPr="00572285" w:rsidRDefault="00572285" w:rsidP="005722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со пристапување и.бр 4080/2018 од Извршител Благоја Каламатиев од Скопје</w:t>
      </w:r>
      <w:r w:rsidR="00211393" w:rsidRPr="00211393">
        <w:rPr>
          <w:rFonts w:ascii="Arial" w:eastAsia="Times New Roman" w:hAnsi="Arial" w:cs="Arial"/>
          <w:lang w:val="ru-RU"/>
        </w:rPr>
        <w:t>.</w:t>
      </w:r>
    </w:p>
    <w:p w14:paraId="33169EA2" w14:textId="097E60E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5D0760F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294DE2AF" w14:textId="174A819A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572285">
        <w:rPr>
          <w:rFonts w:ascii="Arial" w:eastAsia="Times New Roman" w:hAnsi="Arial" w:cs="Arial"/>
          <w:lang w:val="ru-RU"/>
        </w:rPr>
        <w:t xml:space="preserve">500-00000-14908-20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572285">
        <w:rPr>
          <w:rFonts w:ascii="Arial" w:eastAsia="Times New Roman" w:hAnsi="Arial" w:cs="Arial"/>
          <w:lang w:val="ru-RU"/>
        </w:rPr>
        <w:t>Стопанска банка АД Битола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572285" w:rsidRPr="00572285">
        <w:rPr>
          <w:rFonts w:ascii="Arial" w:eastAsia="Times New Roman" w:hAnsi="Arial" w:cs="Arial"/>
        </w:rPr>
        <w:t>5002023509971</w:t>
      </w:r>
      <w:r w:rsidR="00572285">
        <w:rPr>
          <w:rFonts w:ascii="Arial" w:eastAsia="Times New Roman" w:hAnsi="Arial" w:cs="Arial"/>
        </w:rPr>
        <w:t xml:space="preserve"> најдоцна до 15.09.2025 година.</w:t>
      </w:r>
    </w:p>
    <w:p w14:paraId="2BFE271F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CE8B849" w14:textId="754AD793" w:rsidR="00211393" w:rsidRPr="00211393" w:rsidRDefault="00211393" w:rsidP="0057228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572285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6F29DA4" w14:textId="2FAD57E6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Овој заклучок ќе се објави во следните средства за јавно информирање</w:t>
      </w:r>
      <w:r w:rsidR="00572285">
        <w:rPr>
          <w:rFonts w:ascii="Arial" w:eastAsia="Times New Roman" w:hAnsi="Arial" w:cs="Arial"/>
        </w:rPr>
        <w:t xml:space="preserve"> - дневен весник</w:t>
      </w:r>
      <w:r w:rsidR="00CE7B85">
        <w:rPr>
          <w:rFonts w:ascii="Arial" w:eastAsia="Times New Roman" w:hAnsi="Arial" w:cs="Arial"/>
        </w:rPr>
        <w:t xml:space="preserve"> </w:t>
      </w:r>
      <w:r w:rsidR="00572285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14:paraId="74965D3D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783E3FF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29CE8AC6" w14:textId="77777777"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3AE9F4D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2230DB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1A5AE369" w14:textId="77777777" w:rsidTr="009851EC">
        <w:trPr>
          <w:trHeight w:val="851"/>
        </w:trPr>
        <w:tc>
          <w:tcPr>
            <w:tcW w:w="4297" w:type="dxa"/>
          </w:tcPr>
          <w:p w14:paraId="73B8F9FA" w14:textId="34E16060" w:rsidR="00823825" w:rsidRPr="000406D7" w:rsidRDefault="00DA4298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2BD2E2BA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14:paraId="5450BA28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14:paraId="38028066" w14:textId="68C02DE3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CE7B85">
        <w:rPr>
          <w:rFonts w:ascii="Arial" w:hAnsi="Arial" w:cs="Arial"/>
          <w:sz w:val="20"/>
          <w:szCs w:val="20"/>
        </w:rPr>
        <w:t>Ресен</w:t>
      </w:r>
      <w:r>
        <w:rPr>
          <w:rFonts w:ascii="Arial" w:hAnsi="Arial" w:cs="Arial"/>
          <w:sz w:val="20"/>
          <w:szCs w:val="20"/>
        </w:rPr>
        <w:t xml:space="preserve">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14:paraId="5304AA29" w14:textId="77777777"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7500D051" w14:textId="2811E4C1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  <w:r w:rsidR="00CE7B85">
        <w:rPr>
          <w:rFonts w:ascii="Arial" w:hAnsi="Arial" w:cs="Arial"/>
          <w:sz w:val="20"/>
          <w:szCs w:val="20"/>
        </w:rPr>
        <w:t>,</w:t>
      </w:r>
    </w:p>
    <w:p w14:paraId="3B44A312" w14:textId="6FBA8853"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201D20AB" w14:textId="5944C851" w:rsidR="00CE7B85" w:rsidRDefault="00CE7B8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и сите лица кои што имаат право на купување.</w:t>
      </w:r>
    </w:p>
    <w:p w14:paraId="5330B5E4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9798B">
        <w:pict w14:anchorId="36030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8pt;height:59.4pt" wrapcoords="-63 0 -63 21016 21600 21016 21600 0 -63 0" o:allowoverlap="f">
            <v:imagedata r:id="rId14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EBEC931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8391CB7" w14:textId="7586B6B7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</w:t>
      </w:r>
      <w:r w:rsidR="00CE7B85">
        <w:rPr>
          <w:rFonts w:ascii="Arial" w:hAnsi="Arial" w:cs="Arial"/>
          <w:sz w:val="20"/>
          <w:szCs w:val="20"/>
        </w:rPr>
        <w:t xml:space="preserve"> Основен Суд</w:t>
      </w:r>
      <w:r>
        <w:rPr>
          <w:rFonts w:ascii="Arial" w:hAnsi="Arial" w:cs="Arial"/>
          <w:sz w:val="20"/>
          <w:szCs w:val="20"/>
        </w:rPr>
        <w:t xml:space="preserve"> </w:t>
      </w:r>
      <w:bookmarkStart w:id="27" w:name="OSudPouka"/>
      <w:bookmarkEnd w:id="27"/>
      <w:r w:rsidR="00DA4298">
        <w:rPr>
          <w:rFonts w:ascii="Arial" w:hAnsi="Arial" w:cs="Arial"/>
          <w:sz w:val="20"/>
          <w:szCs w:val="20"/>
        </w:rPr>
        <w:t>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15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BA17" w14:textId="77777777" w:rsidR="008F6489" w:rsidRDefault="008F6489" w:rsidP="00DA4298">
      <w:pPr>
        <w:spacing w:after="0" w:line="240" w:lineRule="auto"/>
      </w:pPr>
      <w:r>
        <w:separator/>
      </w:r>
    </w:p>
  </w:endnote>
  <w:endnote w:type="continuationSeparator" w:id="0">
    <w:p w14:paraId="31D631E7" w14:textId="77777777" w:rsidR="008F6489" w:rsidRDefault="008F6489" w:rsidP="00DA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4ACC" w14:textId="77777777" w:rsidR="00DA4298" w:rsidRPr="00DA4298" w:rsidRDefault="00DA4298" w:rsidP="00DA42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DC2F" w14:textId="77777777" w:rsidR="008F6489" w:rsidRDefault="008F6489" w:rsidP="00DA4298">
      <w:pPr>
        <w:spacing w:after="0" w:line="240" w:lineRule="auto"/>
      </w:pPr>
      <w:r>
        <w:separator/>
      </w:r>
    </w:p>
  </w:footnote>
  <w:footnote w:type="continuationSeparator" w:id="0">
    <w:p w14:paraId="6DD9DF6D" w14:textId="77777777" w:rsidR="008F6489" w:rsidRDefault="008F6489" w:rsidP="00DA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24AA0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203FD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72285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8F6489"/>
    <w:rsid w:val="00913EF8"/>
    <w:rsid w:val="00926A7A"/>
    <w:rsid w:val="009626C8"/>
    <w:rsid w:val="00990882"/>
    <w:rsid w:val="00A701D2"/>
    <w:rsid w:val="00AE3FD5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9798B"/>
    <w:rsid w:val="00CC28C6"/>
    <w:rsid w:val="00CE2401"/>
    <w:rsid w:val="00CE7B85"/>
    <w:rsid w:val="00CF2E54"/>
    <w:rsid w:val="00D47D14"/>
    <w:rsid w:val="00D51588"/>
    <w:rsid w:val="00DA4298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4A29"/>
    <w:rsid w:val="00F65B23"/>
    <w:rsid w:val="00F75153"/>
    <w:rsid w:val="00F9340A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3F6E"/>
  <w15:docId w15:val="{032E4647-D596-4EF2-822A-DF9FB80A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A4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2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A4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29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A4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0','')" TargetMode="External"/><Relationship Id="rId13" Type="http://schemas.openxmlformats.org/officeDocument/2006/relationships/hyperlink" Target="javascript:__doPostBack('DataGrid3$ctl02$ctl01',''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javascript:__doPostBack('DataGrid3$ctl02$ctl00','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DataGrid3$ctl02$ctl01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__doPostBack('DataGrid3$ctl02$ctl00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DataGrid3$ctl02$ctl01','')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DBED-562D-4C02-A1D9-19953F02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2025-08-29T11:56:00Z</dcterms:created>
  <dcterms:modified xsi:type="dcterms:W3CDTF">2025-08-29T11:56:00Z</dcterms:modified>
</cp:coreProperties>
</file>