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8A7103" w:rsidRPr="00E80A1C" w:rsidTr="005C493E"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A7103" w:rsidRPr="00E80A1C" w:rsidTr="008A7103">
        <w:trPr>
          <w:trHeight w:val="252"/>
        </w:trPr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103" w:rsidRPr="00E80A1C" w:rsidTr="005C493E"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A7103" w:rsidRPr="00E80A1C" w:rsidTr="005C493E"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A7103" w:rsidRPr="00E80A1C" w:rsidTr="005C493E"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Основните судови Гостивар и </w:t>
            </w:r>
            <w:proofErr w:type="spellStart"/>
            <w:r w:rsidRPr="00E80A1C">
              <w:rPr>
                <w:rFonts w:ascii="Arial" w:hAnsi="Arial" w:cs="Arial"/>
                <w:b/>
                <w:sz w:val="20"/>
                <w:szCs w:val="20"/>
              </w:rPr>
              <w:t>Кичево</w:t>
            </w:r>
            <w:proofErr w:type="spellEnd"/>
          </w:p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И.бр.36/18</w:t>
            </w:r>
          </w:p>
        </w:tc>
      </w:tr>
      <w:tr w:rsidR="008A7103" w:rsidRPr="00E80A1C" w:rsidTr="005C493E">
        <w:tc>
          <w:tcPr>
            <w:tcW w:w="6008" w:type="dxa"/>
            <w:hideMark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A1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тел.042/221-888 и </w:t>
            </w:r>
            <w:r w:rsidRPr="00E80A1C">
              <w:rPr>
                <w:rFonts w:ascii="Arial" w:hAnsi="Arial" w:cs="Arial"/>
                <w:b/>
                <w:sz w:val="20"/>
                <w:szCs w:val="20"/>
              </w:rPr>
              <w:t>078 354 304</w:t>
            </w:r>
          </w:p>
          <w:p w:rsidR="008A7103" w:rsidRPr="00E80A1C" w:rsidRDefault="008A7103" w:rsidP="008A71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8A7103" w:rsidRPr="00E80A1C" w:rsidRDefault="008A7103" w:rsidP="008A7103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D05A3" w:rsidRDefault="008A7103" w:rsidP="00E80A1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80A1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Чедомир Личковски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Гостивар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E80A1C">
        <w:rPr>
          <w:rFonts w:ascii="Arial" w:hAnsi="Arial" w:cs="Arial"/>
          <w:b/>
          <w:sz w:val="20"/>
          <w:szCs w:val="20"/>
          <w:lang w:val="mk-MK"/>
        </w:rPr>
        <w:t>Мирјета Мустафи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со ЕМБГ </w:t>
      </w:r>
      <w:r w:rsidR="00262438" w:rsidRPr="00E80A1C">
        <w:rPr>
          <w:rFonts w:ascii="Arial" w:hAnsi="Arial" w:cs="Arial"/>
          <w:sz w:val="20"/>
          <w:szCs w:val="20"/>
        </w:rPr>
        <w:t>////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и живеалиште/ престојувалиште/ седиште на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ул. Долна бањица бр.ББ Гостивар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со откупено побарување потврдено со договор за солемнизација  ОДУ.бр.736/22 од 16.06.2022 на нотар Јакуп Демири од Гостивар од претходниот доверител  </w:t>
      </w:r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ШПАРКАСЕ  БАНКА  МАКЕДОНИЈА АД СКОПЈЕ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со ЕМБГ/ ЕМБС/ ЕДБ </w:t>
      </w:r>
      <w:r w:rsidR="00262438" w:rsidRPr="00E80A1C">
        <w:rPr>
          <w:rFonts w:ascii="Arial" w:hAnsi="Arial" w:cs="Arial"/>
          <w:color w:val="000000"/>
          <w:sz w:val="20"/>
          <w:szCs w:val="20"/>
          <w:lang w:eastAsia="mk-MK"/>
        </w:rPr>
        <w:t>///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и живеалиште/ престојувалиште/ седиште на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ул.Македонија бр.9-11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ОДУ.бр.566/10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18.05.2010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Нотар Зулфиќар Сејфулаи од Гостивар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внатрешен и надворешен промет, производство и услуги, сообраќај, туризам и угостителство  ШПУТИМ КОМЕРЦ Алит ДООЕЛ експорт-импорт Гостивар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Гостивар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со ЕМБГ/ ЕМБС/ ЕДБ  </w:t>
      </w:r>
      <w:r w:rsidR="00262438" w:rsidRPr="00E80A1C">
        <w:rPr>
          <w:rFonts w:ascii="Arial" w:hAnsi="Arial" w:cs="Arial"/>
          <w:color w:val="000000"/>
          <w:sz w:val="20"/>
          <w:szCs w:val="20"/>
          <w:lang w:eastAsia="mk-MK"/>
        </w:rPr>
        <w:t>///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и живеалиште/ престојувалиште/ седиште на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ул.,,Беличица</w:t>
      </w:r>
      <w:r w:rsidRPr="00E80A1C">
        <w:rPr>
          <w:rFonts w:ascii="Arial" w:hAnsi="Arial" w:cs="Arial"/>
          <w:color w:val="000000"/>
          <w:sz w:val="20"/>
          <w:szCs w:val="20"/>
          <w:lang w:eastAsia="mk-MK"/>
        </w:rPr>
        <w:t>”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бб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E80A1C">
        <w:rPr>
          <w:rFonts w:ascii="Arial" w:hAnsi="Arial" w:cs="Arial"/>
          <w:color w:val="000000"/>
          <w:sz w:val="20"/>
          <w:szCs w:val="20"/>
          <w:lang w:val="mk-MK" w:eastAsia="mk-MK"/>
        </w:rPr>
        <w:t>3.250.000,00 ден.</w:t>
      </w:r>
      <w:r w:rsidRPr="00E80A1C">
        <w:rPr>
          <w:rFonts w:ascii="Arial" w:hAnsi="Arial" w:cs="Arial"/>
          <w:sz w:val="20"/>
          <w:szCs w:val="20"/>
          <w:lang w:val="mk-MK"/>
        </w:rPr>
        <w:t>, на ден 13.04.2023 година го донесува следниот:</w:t>
      </w:r>
      <w:r w:rsidR="00E80A1C">
        <w:rPr>
          <w:rFonts w:ascii="Arial" w:hAnsi="Arial" w:cs="Arial"/>
          <w:sz w:val="20"/>
          <w:szCs w:val="20"/>
        </w:rPr>
        <w:t xml:space="preserve">       </w:t>
      </w:r>
    </w:p>
    <w:p w:rsidR="00262438" w:rsidRPr="00E80A1C" w:rsidRDefault="008A7103" w:rsidP="001D05A3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E80A1C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8A7103" w:rsidRPr="00E80A1C" w:rsidRDefault="001D05A3" w:rsidP="001D05A3">
      <w:pPr>
        <w:spacing w:after="0"/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8A7103" w:rsidRPr="00E80A1C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8A7103" w:rsidRDefault="008A7103" w:rsidP="002624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A1C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80A1C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80A1C">
        <w:rPr>
          <w:rFonts w:ascii="Arial" w:hAnsi="Arial" w:cs="Arial"/>
          <w:b/>
          <w:sz w:val="20"/>
          <w:szCs w:val="20"/>
          <w:lang w:val="mk-MK"/>
        </w:rPr>
        <w:t>)</w:t>
      </w:r>
    </w:p>
    <w:p w:rsidR="001D05A3" w:rsidRPr="001D05A3" w:rsidRDefault="001D05A3" w:rsidP="002624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2438" w:rsidRPr="00E80A1C" w:rsidRDefault="008A7103" w:rsidP="0026243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80A1C">
        <w:rPr>
          <w:rFonts w:ascii="Arial" w:hAnsi="Arial" w:cs="Arial"/>
          <w:sz w:val="20"/>
          <w:szCs w:val="20"/>
          <w:lang w:val="mk-MK"/>
        </w:rPr>
        <w:t>СЕ ОПРЕДЕЛУВА ПРВА продажба со усно јавно наддавање на недвижноста означена како:</w:t>
      </w:r>
    </w:p>
    <w:p w:rsidR="008A7103" w:rsidRPr="00E80A1C" w:rsidRDefault="008A7103" w:rsidP="009A4736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80A1C">
        <w:rPr>
          <w:rFonts w:ascii="Arial" w:hAnsi="Arial" w:cs="Arial"/>
          <w:bCs/>
          <w:sz w:val="20"/>
          <w:szCs w:val="20"/>
          <w:lang w:val="mk-MK"/>
        </w:rPr>
        <w:t xml:space="preserve">-КП.бр.3427 дел 0 , адреса (улица и куќен број на зграда) „Г.ДЕЛЧЕВ„ , бр.на зграда/друг објект „3„ , намена на згр.преземена при конверзија на податоци од стариот ел.систем „ СТАН ВО СЕМЕЈНА ЗГРАДА „ , влез 1 , кат 8 , број 36 , внатрешна површина од 74 м2, право преземено при конверзија на податоци од стариот ел.систем 831;-КП.бр.3427 дел 0 , адреса (улица и куќен број на зграда) „Г.ДЕЛЧЕВ„ , бр.на зграда/друг објект „3„ , намена на згр.преземена при конверзија на податоци од стариот ел.систем „ПОМОШНИ ПРОСТОРИИ„ , влез 1 , кат ПО , број 36 , внатрешна површина од 4 м2, право преземено при конверзија на податоци од стариот ел.систем 831;запишана во </w:t>
      </w:r>
      <w:r w:rsidRPr="00E80A1C">
        <w:rPr>
          <w:rFonts w:ascii="Arial" w:hAnsi="Arial" w:cs="Arial"/>
          <w:b/>
          <w:bCs/>
          <w:sz w:val="20"/>
          <w:szCs w:val="20"/>
          <w:u w:val="single"/>
          <w:lang w:val="mk-MK"/>
        </w:rPr>
        <w:t>имотен лист бр. 75140</w:t>
      </w:r>
      <w:r w:rsidRPr="00E80A1C">
        <w:rPr>
          <w:rFonts w:ascii="Arial" w:hAnsi="Arial" w:cs="Arial"/>
          <w:noProof/>
          <w:sz w:val="20"/>
          <w:szCs w:val="20"/>
          <w:lang w:val="mk-MK"/>
        </w:rPr>
        <w:t xml:space="preserve">  </w:t>
      </w:r>
      <w:r w:rsidRPr="00E80A1C">
        <w:rPr>
          <w:rFonts w:ascii="Arial" w:hAnsi="Arial" w:cs="Arial"/>
          <w:bCs/>
          <w:sz w:val="20"/>
          <w:szCs w:val="20"/>
          <w:lang w:val="mk-MK"/>
        </w:rPr>
        <w:t>при Агенција за катастар на недвижности на Република Македонија –Одделение за катастар на недвижности Гостивар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</w:t>
      </w:r>
      <w:r w:rsidRPr="00E80A1C">
        <w:rPr>
          <w:rFonts w:ascii="Arial" w:hAnsi="Arial" w:cs="Arial"/>
          <w:bCs/>
          <w:sz w:val="20"/>
          <w:szCs w:val="20"/>
          <w:lang w:val="mk-MK"/>
        </w:rPr>
        <w:t xml:space="preserve">со следните ознаки: </w:t>
      </w:r>
      <w:r w:rsidRPr="00E80A1C">
        <w:rPr>
          <w:rFonts w:ascii="Arial" w:hAnsi="Arial" w:cs="Arial"/>
          <w:b/>
          <w:bCs/>
          <w:sz w:val="20"/>
          <w:szCs w:val="20"/>
          <w:u w:val="single"/>
          <w:lang w:val="mk-MK"/>
        </w:rPr>
        <w:t>КО ГОСТИВАР-2</w:t>
      </w:r>
      <w:r w:rsidRPr="00E80A1C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80A1C">
        <w:rPr>
          <w:rFonts w:ascii="Arial" w:hAnsi="Arial" w:cs="Arial"/>
          <w:noProof/>
          <w:sz w:val="20"/>
          <w:szCs w:val="20"/>
          <w:lang w:val="mk-MK"/>
        </w:rPr>
        <w:t xml:space="preserve"> </w:t>
      </w:r>
      <w:r w:rsidRPr="00E80A1C">
        <w:rPr>
          <w:rFonts w:ascii="Arial" w:hAnsi="Arial" w:cs="Arial"/>
          <w:bCs/>
          <w:sz w:val="20"/>
          <w:szCs w:val="20"/>
          <w:lang w:val="mk-MK"/>
        </w:rPr>
        <w:t xml:space="preserve">која се наоѓа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во сопственост и владение на должникот-заложниот должник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Друштво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внатрешен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надворешен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промет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производство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услуги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сообраќај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туризам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угостителство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 ШПУТИМ КОМЕРЦ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Алит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ДООЕЛ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експорт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 </w:t>
      </w:r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E80A1C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импорт</w:t>
      </w:r>
      <w:proofErr w:type="spellEnd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80A1C">
        <w:rPr>
          <w:rFonts w:ascii="Arial" w:hAnsi="Arial" w:cs="Arial"/>
          <w:b/>
          <w:bCs/>
          <w:color w:val="000000"/>
          <w:sz w:val="20"/>
          <w:szCs w:val="20"/>
        </w:rPr>
        <w:t>Гостивар</w:t>
      </w:r>
      <w:proofErr w:type="spellEnd"/>
      <w:r w:rsidRPr="00E80A1C">
        <w:rPr>
          <w:rFonts w:ascii="Arial" w:hAnsi="Arial" w:cs="Arial"/>
          <w:sz w:val="20"/>
          <w:szCs w:val="20"/>
          <w:lang w:val="ru-RU"/>
        </w:rPr>
        <w:t>.</w:t>
      </w:r>
      <w:r w:rsid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E80A1C">
        <w:rPr>
          <w:rFonts w:ascii="Arial" w:hAnsi="Arial" w:cs="Arial"/>
          <w:b/>
          <w:sz w:val="20"/>
          <w:szCs w:val="20"/>
          <w:u w:val="single"/>
          <w:lang w:val="ru-RU"/>
        </w:rPr>
        <w:t>08.05.2023</w:t>
      </w:r>
      <w:r w:rsidRPr="00E80A1C">
        <w:rPr>
          <w:rFonts w:ascii="Arial" w:hAnsi="Arial" w:cs="Arial"/>
          <w:sz w:val="20"/>
          <w:szCs w:val="20"/>
          <w:lang w:val="ru-RU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1D05A3">
        <w:rPr>
          <w:rFonts w:ascii="Arial" w:hAnsi="Arial" w:cs="Arial"/>
          <w:sz w:val="20"/>
          <w:szCs w:val="20"/>
          <w:lang w:val="ru-RU"/>
        </w:rPr>
        <w:t>07</w:t>
      </w:r>
      <w:r w:rsidRPr="001D05A3">
        <w:rPr>
          <w:rFonts w:ascii="Arial" w:hAnsi="Arial" w:cs="Arial"/>
          <w:sz w:val="20"/>
          <w:szCs w:val="20"/>
        </w:rPr>
        <w:t>:</w:t>
      </w:r>
      <w:r w:rsidRPr="001D05A3">
        <w:rPr>
          <w:rFonts w:ascii="Arial" w:hAnsi="Arial" w:cs="Arial"/>
          <w:sz w:val="20"/>
          <w:szCs w:val="20"/>
          <w:lang w:val="mk-MK"/>
        </w:rPr>
        <w:t>30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часот во просториите на Извршител Чедомир Личковски од Гостивар, ул.</w:t>
      </w:r>
      <w:r w:rsidRPr="00E80A1C">
        <w:rPr>
          <w:rFonts w:ascii="Arial" w:hAnsi="Arial" w:cs="Arial"/>
          <w:sz w:val="20"/>
          <w:szCs w:val="20"/>
        </w:rPr>
        <w:t>”</w:t>
      </w:r>
      <w:r w:rsidRPr="00E80A1C">
        <w:rPr>
          <w:rFonts w:ascii="Arial" w:hAnsi="Arial" w:cs="Arial"/>
          <w:sz w:val="20"/>
          <w:szCs w:val="20"/>
          <w:lang w:val="mk-MK"/>
        </w:rPr>
        <w:t>Мајор Чеде Филипоски</w:t>
      </w:r>
      <w:r w:rsidRPr="00E80A1C">
        <w:rPr>
          <w:rFonts w:ascii="Arial" w:hAnsi="Arial" w:cs="Arial"/>
          <w:sz w:val="20"/>
          <w:szCs w:val="20"/>
        </w:rPr>
        <w:t>”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бр.2, Гостивар</w:t>
      </w:r>
      <w:r w:rsidR="00E80A1C">
        <w:rPr>
          <w:rFonts w:ascii="Arial" w:hAnsi="Arial" w:cs="Arial"/>
          <w:sz w:val="20"/>
          <w:szCs w:val="20"/>
          <w:lang w:val="mk-MK"/>
        </w:rPr>
        <w:t>.</w:t>
      </w:r>
      <w:r w:rsid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E80A1C">
        <w:rPr>
          <w:rFonts w:ascii="Arial" w:hAnsi="Arial" w:cs="Arial"/>
          <w:sz w:val="20"/>
          <w:szCs w:val="20"/>
          <w:lang w:val="ru-RU"/>
        </w:rPr>
        <w:t>И.бр.36/18 од 05.04.2023 година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Pr="00E80A1C">
        <w:rPr>
          <w:rFonts w:ascii="Arial" w:hAnsi="Arial" w:cs="Arial"/>
          <w:sz w:val="20"/>
          <w:szCs w:val="20"/>
          <w:lang w:val="ru-RU"/>
        </w:rPr>
        <w:t xml:space="preserve">3.612.520,19 </w:t>
      </w:r>
      <w:r w:rsidRPr="00E80A1C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наддавање.Недвижноста е оптоварена со следните товари и службености</w:t>
      </w:r>
      <w:r w:rsidRPr="00E80A1C">
        <w:rPr>
          <w:rFonts w:ascii="Arial" w:hAnsi="Arial" w:cs="Arial"/>
          <w:sz w:val="20"/>
          <w:szCs w:val="20"/>
        </w:rPr>
        <w:t>: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- </w:t>
      </w:r>
      <w:r w:rsidR="009A4736" w:rsidRP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>Налог за извршување И.бр.28/16 од 18.03.2016 година од Извршител Чедомир Личковски,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Налог за извршување кај пристапување кон извршување И.бр.757/16 од 22.03.2016 година од Извршител Чедомир Личковски,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="009A4736" w:rsidRPr="00E80A1C">
        <w:rPr>
          <w:rFonts w:ascii="Arial" w:hAnsi="Arial" w:cs="Arial"/>
          <w:sz w:val="20"/>
          <w:szCs w:val="20"/>
          <w:lang w:val="mk-MK"/>
        </w:rPr>
        <w:t>-</w:t>
      </w:r>
      <w:r w:rsidR="009A4736" w:rsidRP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>Налог за извршување И.бр.1057/16 од 20.05.2016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 Налог за извршување И.бр.767/17 од 24.11.2017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 Налог за извршување И.бр.638/15 од 27.11.2017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Налог за извршување И.бр.1364/17 од 20.12.2017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 Налог за извршување И.бр.36/18 од 29.01.2018 година од Извршител Чедомир Личковски,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 Налог за извршување И.бр.548/15 од 15.01.2018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 Налог за извршување И.бр.815/15 од 15.01.2018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Налог за извршување И.бр.2224/16 од 15.01.2018 година од Извршител Весна Јакимовска,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80A1C">
        <w:rPr>
          <w:rFonts w:ascii="Arial" w:hAnsi="Arial" w:cs="Arial"/>
          <w:sz w:val="20"/>
          <w:szCs w:val="20"/>
          <w:lang w:val="mk-MK"/>
        </w:rPr>
        <w:t>- Налог за извршување И.бр.2516/16 од 06.08.2019 година од Извршител Александар Кузмановски, именуван за подрачјето на Основните судови Гостивар и Кичево</w:t>
      </w:r>
      <w:r w:rsidRPr="00E80A1C">
        <w:rPr>
          <w:rFonts w:ascii="Arial" w:hAnsi="Arial" w:cs="Arial"/>
          <w:sz w:val="20"/>
          <w:szCs w:val="20"/>
        </w:rPr>
        <w:t>;</w:t>
      </w:r>
      <w:r w:rsidRPr="00EE6404">
        <w:rPr>
          <w:rFonts w:ascii="Arial" w:hAnsi="Arial" w:cs="Arial"/>
          <w:sz w:val="20"/>
          <w:szCs w:val="20"/>
          <w:lang w:val="mk-MK"/>
        </w:rPr>
        <w:t xml:space="preserve">- Залог - Хипотека воспоставена во корист на заложен доверител Шпаркасе банка АД Скопје со Договор за залог – хипотека од трет ред ОДУ бр.566/2010 од 18.05.2010 година, на Нотар Зулфиќар Сејфулаи од </w:t>
      </w:r>
      <w:r w:rsidRPr="00EE6404">
        <w:rPr>
          <w:rFonts w:ascii="Arial" w:hAnsi="Arial" w:cs="Arial"/>
          <w:sz w:val="20"/>
          <w:szCs w:val="20"/>
          <w:lang w:val="mk-MK"/>
        </w:rPr>
        <w:lastRenderedPageBreak/>
        <w:t>Гостивар, износ на побарување 12.500.000,00 денари (МКД)</w:t>
      </w:r>
      <w:r w:rsidRPr="00EE6404">
        <w:rPr>
          <w:rFonts w:ascii="Arial" w:hAnsi="Arial" w:cs="Arial"/>
          <w:sz w:val="20"/>
          <w:szCs w:val="20"/>
        </w:rPr>
        <w:t>,</w:t>
      </w:r>
      <w:r w:rsidRPr="00EE6404">
        <w:rPr>
          <w:rFonts w:ascii="Arial" w:hAnsi="Arial" w:cs="Arial"/>
          <w:sz w:val="20"/>
          <w:szCs w:val="20"/>
          <w:lang w:val="mk-MK"/>
        </w:rPr>
        <w:t xml:space="preserve"> откупено од Мирјета Мустафи од Гостивар со Договор за отстапување на побарување со надомест ОДУ бр.736/22 од 16.06.2022 година на Нотар Јакуп Демири од Гостивар</w:t>
      </w:r>
      <w:r w:rsidR="00EE6404" w:rsidRPr="00EE6404">
        <w:rPr>
          <w:rFonts w:ascii="Arial" w:hAnsi="Arial" w:cs="Arial"/>
          <w:sz w:val="20"/>
          <w:szCs w:val="20"/>
          <w:lang w:val="mk-MK"/>
        </w:rPr>
        <w:t>,</w:t>
      </w:r>
      <w:r w:rsidR="00EE6404" w:rsidRPr="00EE6404">
        <w:rPr>
          <w:rFonts w:ascii="Arial" w:hAnsi="Arial" w:cs="Arial"/>
          <w:lang w:val="mk-MK"/>
        </w:rPr>
        <w:t xml:space="preserve"> </w:t>
      </w:r>
      <w:r w:rsidR="00EE6404" w:rsidRPr="00EE6404">
        <w:rPr>
          <w:rFonts w:ascii="Arial" w:hAnsi="Arial" w:cs="Arial"/>
          <w:sz w:val="20"/>
          <w:szCs w:val="20"/>
          <w:lang w:val="mk-MK"/>
        </w:rPr>
        <w:t>видно од списите на предметот И.бр.36/18.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80A1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050EF3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E80A1C">
        <w:rPr>
          <w:rFonts w:ascii="Arial" w:hAnsi="Arial" w:cs="Arial"/>
          <w:color w:val="000000"/>
          <w:sz w:val="20"/>
          <w:szCs w:val="20"/>
        </w:rPr>
        <w:t>210065594760251</w:t>
      </w:r>
      <w:r w:rsidRP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Pr="00E80A1C">
        <w:rPr>
          <w:rFonts w:ascii="Arial" w:hAnsi="Arial" w:cs="Arial"/>
          <w:color w:val="000000"/>
          <w:sz w:val="20"/>
          <w:szCs w:val="20"/>
        </w:rPr>
        <w:t xml:space="preserve">НЛБ </w:t>
      </w:r>
      <w:proofErr w:type="spellStart"/>
      <w:r w:rsidRPr="00E80A1C">
        <w:rPr>
          <w:rFonts w:ascii="Arial" w:hAnsi="Arial" w:cs="Arial"/>
          <w:color w:val="000000"/>
          <w:sz w:val="20"/>
          <w:szCs w:val="20"/>
        </w:rPr>
        <w:t>Тутунска</w:t>
      </w:r>
      <w:proofErr w:type="spellEnd"/>
      <w:r w:rsidRPr="00E80A1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0A1C">
        <w:rPr>
          <w:rFonts w:ascii="Arial" w:hAnsi="Arial" w:cs="Arial"/>
          <w:color w:val="000000"/>
          <w:sz w:val="20"/>
          <w:szCs w:val="20"/>
        </w:rPr>
        <w:t>Банка</w:t>
      </w:r>
      <w:proofErr w:type="spellEnd"/>
      <w:r w:rsidRPr="00E80A1C">
        <w:rPr>
          <w:rFonts w:ascii="Arial" w:hAnsi="Arial" w:cs="Arial"/>
          <w:color w:val="000000"/>
          <w:sz w:val="20"/>
          <w:szCs w:val="20"/>
        </w:rPr>
        <w:t xml:space="preserve"> АД </w:t>
      </w:r>
      <w:proofErr w:type="spellStart"/>
      <w:r w:rsidRPr="00E80A1C">
        <w:rPr>
          <w:rFonts w:ascii="Arial" w:hAnsi="Arial" w:cs="Arial"/>
          <w:color w:val="000000"/>
          <w:sz w:val="20"/>
          <w:szCs w:val="20"/>
        </w:rPr>
        <w:t>Скопје</w:t>
      </w:r>
      <w:proofErr w:type="spellEnd"/>
      <w:r w:rsidRPr="00E80A1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E80A1C">
        <w:rPr>
          <w:rFonts w:ascii="Arial" w:hAnsi="Arial" w:cs="Arial"/>
          <w:color w:val="000000"/>
          <w:sz w:val="20"/>
          <w:szCs w:val="20"/>
        </w:rPr>
        <w:t>5007010503623</w:t>
      </w:r>
      <w:r w:rsidRPr="00E80A1C">
        <w:rPr>
          <w:rFonts w:ascii="Arial" w:hAnsi="Arial" w:cs="Arial"/>
          <w:sz w:val="20"/>
          <w:szCs w:val="20"/>
        </w:rPr>
        <w:t>.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E80A1C">
        <w:rPr>
          <w:rFonts w:ascii="Arial" w:hAnsi="Arial" w:cs="Arial"/>
          <w:sz w:val="20"/>
          <w:szCs w:val="20"/>
          <w:lang w:val="ru-RU"/>
        </w:rPr>
        <w:t xml:space="preserve">15 </w:t>
      </w:r>
      <w:r w:rsidRPr="00E80A1C">
        <w:rPr>
          <w:rFonts w:ascii="Arial" w:hAnsi="Arial" w:cs="Arial"/>
          <w:sz w:val="20"/>
          <w:szCs w:val="20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E80A1C">
        <w:rPr>
          <w:rFonts w:ascii="Arial" w:hAnsi="Arial" w:cs="Arial"/>
          <w:sz w:val="20"/>
          <w:szCs w:val="20"/>
          <w:lang w:val="ru-RU"/>
        </w:rPr>
        <w:t>Нова Македонија  и електронски на веб страницата на Комората</w:t>
      </w:r>
      <w:r w:rsidRPr="00E80A1C">
        <w:rPr>
          <w:rFonts w:ascii="Arial" w:hAnsi="Arial" w:cs="Arial"/>
          <w:sz w:val="20"/>
          <w:szCs w:val="20"/>
          <w:lang w:val="mk-MK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A7103" w:rsidRPr="00E80A1C" w:rsidRDefault="008A7103" w:rsidP="009A47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  <w:t xml:space="preserve">   </w:t>
      </w:r>
      <w:r w:rsidRPr="00E80A1C">
        <w:rPr>
          <w:rFonts w:ascii="Arial" w:hAnsi="Arial" w:cs="Arial"/>
          <w:sz w:val="20"/>
          <w:szCs w:val="20"/>
        </w:rPr>
        <w:t xml:space="preserve">  </w:t>
      </w:r>
      <w:r w:rsidR="009A4736" w:rsidRPr="00E80A1C">
        <w:rPr>
          <w:rFonts w:ascii="Arial" w:hAnsi="Arial" w:cs="Arial"/>
          <w:sz w:val="20"/>
          <w:szCs w:val="20"/>
        </w:rPr>
        <w:t xml:space="preserve">             </w:t>
      </w:r>
      <w:r w:rsidR="00132169">
        <w:rPr>
          <w:rFonts w:ascii="Arial" w:hAnsi="Arial" w:cs="Arial"/>
          <w:sz w:val="20"/>
          <w:szCs w:val="20"/>
        </w:rPr>
        <w:t xml:space="preserve">              </w:t>
      </w:r>
      <w:r w:rsidR="009A4736" w:rsidRPr="00E80A1C">
        <w:rPr>
          <w:rFonts w:ascii="Arial" w:hAnsi="Arial" w:cs="Arial"/>
          <w:sz w:val="20"/>
          <w:szCs w:val="20"/>
        </w:rPr>
        <w:t xml:space="preserve">  </w:t>
      </w:r>
      <w:r w:rsidRPr="00E80A1C">
        <w:rPr>
          <w:rFonts w:ascii="Arial" w:hAnsi="Arial" w:cs="Arial"/>
          <w:sz w:val="20"/>
          <w:szCs w:val="20"/>
        </w:rPr>
        <w:t xml:space="preserve"> </w:t>
      </w:r>
      <w:r w:rsidRPr="00E80A1C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8A7103" w:rsidRPr="00E80A1C" w:rsidTr="005C493E">
        <w:tc>
          <w:tcPr>
            <w:tcW w:w="5377" w:type="dxa"/>
          </w:tcPr>
          <w:p w:rsidR="008A7103" w:rsidRPr="00E80A1C" w:rsidRDefault="008A7103" w:rsidP="009A47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8A7103" w:rsidRPr="00E80A1C" w:rsidRDefault="00E80A1C" w:rsidP="009A47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mk-MK"/>
              </w:rPr>
              <w:t xml:space="preserve"> </w:t>
            </w:r>
            <w:r w:rsidR="00132169">
              <w:rPr>
                <w:rFonts w:ascii="Arial" w:hAnsi="Arial" w:cs="Arial"/>
                <w:bCs/>
                <w:color w:val="000000"/>
                <w:sz w:val="20"/>
                <w:szCs w:val="20"/>
                <w:lang w:eastAsia="mk-MK"/>
              </w:rPr>
              <w:t xml:space="preserve">                           </w:t>
            </w:r>
            <w:r w:rsidR="008A7103" w:rsidRPr="00E80A1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Чедомир Личковски</w:t>
            </w:r>
          </w:p>
        </w:tc>
      </w:tr>
    </w:tbl>
    <w:p w:rsidR="008A7103" w:rsidRPr="00E80A1C" w:rsidRDefault="008A7103" w:rsidP="009A4736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E80A1C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  <w:t xml:space="preserve">        </w:t>
      </w:r>
    </w:p>
    <w:p w:rsidR="008A7103" w:rsidRPr="00E80A1C" w:rsidRDefault="008A7103" w:rsidP="008A7103">
      <w:pPr>
        <w:jc w:val="both"/>
        <w:rPr>
          <w:rFonts w:ascii="Arial" w:hAnsi="Arial" w:cs="Arial"/>
          <w:sz w:val="20"/>
          <w:szCs w:val="20"/>
          <w:lang w:val="mk-MK"/>
        </w:rPr>
      </w:pPr>
      <w:r w:rsidRPr="00E80A1C">
        <w:rPr>
          <w:rFonts w:ascii="Arial" w:hAnsi="Arial" w:cs="Arial"/>
          <w:sz w:val="20"/>
          <w:szCs w:val="20"/>
          <w:lang w:val="mk-MK"/>
        </w:rPr>
        <w:tab/>
      </w:r>
      <w:r w:rsidRPr="00E80A1C">
        <w:rPr>
          <w:rFonts w:ascii="Arial" w:hAnsi="Arial" w:cs="Arial"/>
          <w:sz w:val="20"/>
          <w:szCs w:val="20"/>
          <w:lang w:val="mk-MK"/>
        </w:rPr>
        <w:tab/>
      </w:r>
    </w:p>
    <w:p w:rsidR="008A7103" w:rsidRPr="00E80A1C" w:rsidRDefault="008A7103" w:rsidP="008A7103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292232" w:rsidRPr="00E80A1C" w:rsidRDefault="00292232">
      <w:pPr>
        <w:rPr>
          <w:rFonts w:ascii="Arial" w:hAnsi="Arial" w:cs="Arial"/>
          <w:sz w:val="20"/>
          <w:szCs w:val="20"/>
        </w:rPr>
      </w:pPr>
    </w:p>
    <w:sectPr w:rsidR="00292232" w:rsidRPr="00E80A1C" w:rsidSect="008A7103">
      <w:pgSz w:w="11907" w:h="16840" w:code="9"/>
      <w:pgMar w:top="450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103"/>
    <w:rsid w:val="00050EF3"/>
    <w:rsid w:val="00132169"/>
    <w:rsid w:val="001D05A3"/>
    <w:rsid w:val="00262438"/>
    <w:rsid w:val="00292232"/>
    <w:rsid w:val="008A7103"/>
    <w:rsid w:val="009A4736"/>
    <w:rsid w:val="009C4044"/>
    <w:rsid w:val="00E80A1C"/>
    <w:rsid w:val="00E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710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710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MANE</cp:lastModifiedBy>
  <cp:revision>6</cp:revision>
  <dcterms:created xsi:type="dcterms:W3CDTF">2023-04-18T09:26:00Z</dcterms:created>
  <dcterms:modified xsi:type="dcterms:W3CDTF">2023-04-18T10:24:00Z</dcterms:modified>
</cp:coreProperties>
</file>