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4F6F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BA792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A7929">
              <w:rPr>
                <w:rFonts w:ascii="Arial" w:hAnsi="Arial" w:cs="Arial"/>
                <w:b/>
                <w:lang w:val="ru-RU"/>
              </w:rPr>
              <w:t>Весна Деловска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BA792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A7929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BA7929" w:rsidRPr="00BA7929">
              <w:rPr>
                <w:rFonts w:ascii="Arial" w:hAnsi="Arial" w:cs="Arial"/>
                <w:b/>
                <w:lang w:val="ru-RU"/>
              </w:rPr>
              <w:t>4659/2024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BA792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A7929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BA792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A7929">
              <w:rPr>
                <w:rFonts w:ascii="Arial" w:hAnsi="Arial" w:cs="Arial"/>
                <w:b/>
                <w:lang w:val="ru-RU"/>
              </w:rPr>
              <w:t>ул.Антоние Грубишиќ бр.2/1-4,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BA792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A7929">
              <w:rPr>
                <w:rFonts w:ascii="Arial" w:hAnsi="Arial" w:cs="Arial"/>
                <w:b/>
                <w:lang w:val="ru-RU"/>
              </w:rPr>
              <w:t>тел. 02 3111 533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BA7929" w:rsidRPr="00BA7929">
        <w:rPr>
          <w:rFonts w:ascii="Arial" w:hAnsi="Arial" w:cs="Arial"/>
          <w:b/>
          <w:bCs/>
          <w:color w:val="000000"/>
          <w:lang w:eastAsia="en-GB"/>
        </w:rPr>
        <w:t>Весна Деловска</w:t>
      </w:r>
      <w:r>
        <w:rPr>
          <w:rFonts w:ascii="Arial" w:hAnsi="Arial" w:cs="Arial"/>
          <w:lang w:val="mk-MK"/>
        </w:rPr>
        <w:t xml:space="preserve"> од </w:t>
      </w:r>
      <w:r w:rsidR="00BA7929" w:rsidRPr="00BA7929">
        <w:rPr>
          <w:rFonts w:ascii="Arial" w:hAnsi="Arial" w:cs="Arial"/>
          <w:b/>
          <w:bCs/>
          <w:color w:val="000000"/>
          <w:lang w:eastAsia="en-GB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BA7929" w:rsidRPr="00BA7929">
        <w:rPr>
          <w:rFonts w:ascii="Arial" w:hAnsi="Arial" w:cs="Arial"/>
          <w:b/>
          <w:bCs/>
          <w:color w:val="000000"/>
          <w:lang w:eastAsia="en-GB"/>
        </w:rPr>
        <w:t>Агенција за иновации,научно-технолошки развој и претприемништво на РСМ, како правен следбеник на Фонд за иновации и технолошки развој Скопје преку полномошник адвокат Владимир Стојановски од Скопје</w:t>
      </w:r>
      <w:r>
        <w:rPr>
          <w:rFonts w:ascii="Arial" w:hAnsi="Arial" w:cs="Arial"/>
          <w:lang w:val="mk-MK"/>
        </w:rPr>
        <w:t xml:space="preserve"> од </w:t>
      </w:r>
      <w:r w:rsidR="00BA7929" w:rsidRPr="00BA7929">
        <w:rPr>
          <w:rFonts w:ascii="Arial" w:hAnsi="Arial" w:cs="Arial"/>
          <w:color w:val="000000"/>
          <w:lang w:eastAsia="en-GB"/>
        </w:rPr>
        <w:t>Скопје</w:t>
      </w:r>
      <w:r>
        <w:rPr>
          <w:rFonts w:ascii="Arial" w:hAnsi="Arial" w:cs="Arial"/>
          <w:lang w:val="mk-MK"/>
        </w:rPr>
        <w:t xml:space="preserve"> со ЕДБ </w:t>
      </w:r>
      <w:r w:rsidR="00BA7929" w:rsidRPr="00BA7929">
        <w:rPr>
          <w:rFonts w:ascii="Arial" w:hAnsi="Arial" w:cs="Arial"/>
          <w:color w:val="000000"/>
          <w:lang w:eastAsia="en-GB"/>
        </w:rPr>
        <w:t>4030003505490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="00BA7929" w:rsidRPr="00BA7929">
        <w:rPr>
          <w:rFonts w:ascii="Arial" w:hAnsi="Arial" w:cs="Arial"/>
          <w:color w:val="000000"/>
          <w:lang w:eastAsia="en-GB"/>
        </w:rPr>
        <w:t>КЕЈ ДИМИТАР ВЛАХОВ бр.4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BA7929" w:rsidRPr="00BA7929">
        <w:rPr>
          <w:rFonts w:ascii="Arial" w:hAnsi="Arial" w:cs="Arial"/>
          <w:color w:val="000000"/>
          <w:lang w:eastAsia="en-GB"/>
        </w:rPr>
        <w:t>ОДУ бр.2066/18</w:t>
      </w:r>
      <w:r>
        <w:rPr>
          <w:rFonts w:ascii="Arial" w:hAnsi="Arial" w:cs="Arial"/>
          <w:lang w:val="mk-MK"/>
        </w:rPr>
        <w:t xml:space="preserve"> од </w:t>
      </w:r>
      <w:r w:rsidR="00BA7929" w:rsidRPr="00BA7929">
        <w:rPr>
          <w:rFonts w:ascii="Arial" w:hAnsi="Arial" w:cs="Arial"/>
          <w:color w:val="000000"/>
          <w:lang w:eastAsia="en-GB"/>
        </w:rPr>
        <w:t>18.12.2018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BA7929" w:rsidRPr="00BA7929">
        <w:rPr>
          <w:rFonts w:ascii="Arial" w:hAnsi="Arial" w:cs="Arial"/>
          <w:color w:val="000000"/>
          <w:lang w:eastAsia="en-GB"/>
        </w:rPr>
        <w:t>Нотар Ана Брашнарска</w:t>
      </w:r>
      <w:r>
        <w:rPr>
          <w:rFonts w:ascii="Arial" w:hAnsi="Arial" w:cs="Arial"/>
          <w:lang w:val="mk-MK"/>
        </w:rPr>
        <w:t xml:space="preserve">, против должникот </w:t>
      </w:r>
      <w:r w:rsidR="00BA7929" w:rsidRPr="00BA7929">
        <w:rPr>
          <w:rFonts w:ascii="Arial" w:hAnsi="Arial" w:cs="Arial"/>
          <w:b/>
          <w:bCs/>
          <w:color w:val="000000"/>
          <w:lang w:eastAsia="en-GB"/>
        </w:rPr>
        <w:t>ЗЛАТНА РАКА -М ДООЕЛ увоз извоз Скопје, Друштво  за производство, промет и услуги</w:t>
      </w:r>
      <w:r>
        <w:rPr>
          <w:rFonts w:ascii="Arial" w:hAnsi="Arial" w:cs="Arial"/>
          <w:lang w:val="mk-MK"/>
        </w:rPr>
        <w:t xml:space="preserve"> од </w:t>
      </w:r>
      <w:r w:rsidR="00BA7929" w:rsidRPr="00BA7929">
        <w:rPr>
          <w:rFonts w:ascii="Arial" w:hAnsi="Arial" w:cs="Arial"/>
          <w:color w:val="000000"/>
          <w:lang w:eastAsia="en-GB"/>
        </w:rPr>
        <w:t>Скопје</w:t>
      </w:r>
      <w:r>
        <w:rPr>
          <w:rFonts w:ascii="Arial" w:hAnsi="Arial" w:cs="Arial"/>
          <w:lang w:val="mk-MK"/>
        </w:rPr>
        <w:t xml:space="preserve"> со ЕДБ  </w:t>
      </w:r>
      <w:r w:rsidR="00BA7929" w:rsidRPr="00BA7929">
        <w:rPr>
          <w:rFonts w:ascii="Arial" w:hAnsi="Arial" w:cs="Arial"/>
          <w:color w:val="000000"/>
          <w:lang w:eastAsia="en-GB"/>
        </w:rPr>
        <w:t>4030001430760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BA7929" w:rsidRPr="00BA7929">
        <w:rPr>
          <w:rFonts w:ascii="Arial" w:hAnsi="Arial" w:cs="Arial"/>
          <w:color w:val="000000"/>
          <w:lang w:eastAsia="en-GB"/>
        </w:rPr>
        <w:t>ул.Пат за Батинци бр.58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BA7929" w:rsidRPr="00BA7929">
        <w:rPr>
          <w:rFonts w:ascii="Arial" w:hAnsi="Arial" w:cs="Arial"/>
          <w:color w:val="000000"/>
          <w:lang w:eastAsia="en-GB"/>
        </w:rPr>
        <w:t>5.342.699,00 ден.</w:t>
      </w:r>
      <w:r>
        <w:rPr>
          <w:rFonts w:ascii="Arial" w:hAnsi="Arial" w:cs="Arial"/>
          <w:lang w:val="mk-MK"/>
        </w:rPr>
        <w:t xml:space="preserve">, на ден </w:t>
      </w:r>
      <w:r w:rsidR="007E6B1E">
        <w:rPr>
          <w:rFonts w:ascii="Arial" w:hAnsi="Arial" w:cs="Arial"/>
          <w:lang w:val="mk-MK"/>
        </w:rPr>
        <w:t>03.11.2025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E6B1E" w:rsidRDefault="007E6B1E" w:rsidP="007E6B1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7E6B1E" w:rsidRDefault="007E6B1E" w:rsidP="007E6B1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:rsidR="007E6B1E" w:rsidRDefault="007E6B1E" w:rsidP="007E6B1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>
        <w:rPr>
          <w:rFonts w:ascii="Arial" w:hAnsi="Arial" w:cs="Arial"/>
          <w:b/>
          <w:sz w:val="22"/>
          <w:szCs w:val="22"/>
          <w:lang w:val="mk-MK"/>
        </w:rPr>
        <w:t>)</w:t>
      </w:r>
    </w:p>
    <w:p w:rsidR="007E6B1E" w:rsidRDefault="007E6B1E" w:rsidP="007E6B1E">
      <w:pPr>
        <w:rPr>
          <w:rFonts w:ascii="Arial" w:hAnsi="Arial" w:cs="Arial"/>
          <w:sz w:val="22"/>
          <w:szCs w:val="22"/>
          <w:lang w:val="mk-MK"/>
        </w:rPr>
      </w:pPr>
    </w:p>
    <w:p w:rsidR="007E6B1E" w:rsidRDefault="007E6B1E" w:rsidP="007E6B1E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>
        <w:rPr>
          <w:rFonts w:ascii="Arial" w:hAnsi="Arial" w:cs="Arial"/>
          <w:sz w:val="22"/>
          <w:szCs w:val="22"/>
          <w:lang w:val="mk-MK"/>
        </w:rPr>
        <w:t xml:space="preserve"> ВТОРА продажба со усно јавно наддавање на недвижноста сопственост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на </w:t>
      </w:r>
      <w:r>
        <w:rPr>
          <w:rFonts w:ascii="Arial" w:hAnsi="Arial" w:cs="Arial"/>
          <w:sz w:val="22"/>
          <w:szCs w:val="22"/>
          <w:lang w:val="mk-MK"/>
        </w:rPr>
        <w:fldChar w:fldCharType="begin"/>
      </w:r>
      <w:r>
        <w:rPr>
          <w:rFonts w:ascii="Arial" w:hAnsi="Arial" w:cs="Arial"/>
          <w:sz w:val="22"/>
          <w:szCs w:val="22"/>
          <w:lang w:val="mk-MK"/>
        </w:rPr>
        <w:instrText xml:space="preserve"> LINK Excel.Sheet.8 C:\\ObrasciIzvrsiteli\\VORD.xls Sheet1!R2C12 \a \f 4 \r  \* MERGEFORMAT </w:instrText>
      </w:r>
      <w:r>
        <w:rPr>
          <w:rFonts w:ascii="Arial" w:hAnsi="Arial" w:cs="Arial"/>
          <w:sz w:val="22"/>
          <w:szCs w:val="22"/>
          <w:lang w:val="mk-MK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ЗЛАТНА РАКА -М ДООЕЛ увоз извоз Скопје, Друштво  за производство, промет и услуги</w:t>
      </w:r>
      <w:r>
        <w:rPr>
          <w:rFonts w:ascii="Arial" w:hAnsi="Arial" w:cs="Arial"/>
          <w:sz w:val="22"/>
          <w:szCs w:val="22"/>
          <w:lang w:val="mk-MK"/>
        </w:rPr>
        <w:fldChar w:fldCharType="end"/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fldChar w:fldCharType="begin"/>
      </w:r>
      <w:r>
        <w:rPr>
          <w:rFonts w:ascii="Arial" w:hAnsi="Arial" w:cs="Arial"/>
          <w:sz w:val="22"/>
          <w:szCs w:val="22"/>
          <w:lang w:val="mk-MK"/>
        </w:rPr>
        <w:instrText xml:space="preserve"> LINK Excel.Sheet.8 C:\\ObrasciIzvrsiteli\\VORD.xls Sheet1!R2C13 \a \f 4 \r  \* MERGEFORMAT </w:instrText>
      </w:r>
      <w:r>
        <w:rPr>
          <w:rFonts w:ascii="Arial" w:hAnsi="Arial" w:cs="Arial"/>
          <w:sz w:val="22"/>
          <w:szCs w:val="22"/>
          <w:lang w:val="mk-MK"/>
        </w:rPr>
        <w:fldChar w:fldCharType="separate"/>
      </w:r>
      <w:r>
        <w:rPr>
          <w:rFonts w:ascii="Arial" w:hAnsi="Arial" w:cs="Arial"/>
          <w:color w:val="000000"/>
          <w:sz w:val="22"/>
          <w:szCs w:val="22"/>
          <w:lang w:eastAsia="en-GB"/>
        </w:rPr>
        <w:t>Скопје</w:t>
      </w:r>
      <w:r>
        <w:rPr>
          <w:rFonts w:ascii="Arial" w:hAnsi="Arial" w:cs="Arial"/>
          <w:sz w:val="22"/>
          <w:szCs w:val="22"/>
          <w:lang w:val="mk-MK"/>
        </w:rPr>
        <w:fldChar w:fldCharType="end"/>
      </w:r>
      <w:r>
        <w:rPr>
          <w:rFonts w:ascii="Arial" w:hAnsi="Arial" w:cs="Arial"/>
          <w:sz w:val="22"/>
          <w:szCs w:val="22"/>
          <w:lang w:val="mk-MK"/>
        </w:rPr>
        <w:t xml:space="preserve"> со ЕДБ  </w:t>
      </w:r>
      <w:r>
        <w:rPr>
          <w:rFonts w:ascii="Arial" w:hAnsi="Arial" w:cs="Arial"/>
          <w:sz w:val="22"/>
          <w:szCs w:val="22"/>
          <w:lang w:val="mk-MK"/>
        </w:rPr>
        <w:fldChar w:fldCharType="begin"/>
      </w:r>
      <w:r>
        <w:rPr>
          <w:rFonts w:ascii="Arial" w:hAnsi="Arial" w:cs="Arial"/>
          <w:sz w:val="22"/>
          <w:szCs w:val="22"/>
          <w:lang w:val="mk-MK"/>
        </w:rPr>
        <w:instrText xml:space="preserve"> LINK Excel.Sheet.8 C:\\ObrasciIzvrsiteli\\VORD.xls Sheet1!R2C14 \a \f 4 \r  \* MERGEFORMAT </w:instrText>
      </w:r>
      <w:r>
        <w:rPr>
          <w:rFonts w:ascii="Arial" w:hAnsi="Arial" w:cs="Arial"/>
          <w:sz w:val="22"/>
          <w:szCs w:val="22"/>
          <w:lang w:val="mk-MK"/>
        </w:rPr>
        <w:fldChar w:fldCharType="separate"/>
      </w:r>
      <w:r>
        <w:rPr>
          <w:rFonts w:ascii="Arial" w:hAnsi="Arial" w:cs="Arial"/>
          <w:color w:val="000000"/>
          <w:sz w:val="22"/>
          <w:szCs w:val="22"/>
          <w:lang w:eastAsia="en-GB"/>
        </w:rPr>
        <w:t>4030001430760</w:t>
      </w:r>
      <w:r>
        <w:rPr>
          <w:rFonts w:ascii="Arial" w:hAnsi="Arial" w:cs="Arial"/>
          <w:sz w:val="22"/>
          <w:szCs w:val="22"/>
          <w:lang w:val="mk-MK"/>
        </w:rPr>
        <w:fldChar w:fldCharType="end"/>
      </w:r>
      <w:r>
        <w:rPr>
          <w:rFonts w:ascii="Arial" w:hAnsi="Arial" w:cs="Arial"/>
          <w:sz w:val="22"/>
          <w:szCs w:val="22"/>
          <w:lang w:val="mk-MK"/>
        </w:rPr>
        <w:t xml:space="preserve">, ЕМБС 5591074 и седиште на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Excel.Sheet.8 C:\\ObrasciIzvrsiteli\\VORD.xls Sheet1!R2C15 \a \f 4 \r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  <w:lang w:eastAsia="en-GB"/>
        </w:rPr>
        <w:t>ул.Пат за Батинци бр.58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со следните ознаки: </w:t>
      </w:r>
    </w:p>
    <w:p w:rsidR="007E6B1E" w:rsidRDefault="007E6B1E" w:rsidP="007E6B1E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7E6B1E" w:rsidRDefault="007E6B1E" w:rsidP="007E6B1E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Недвижност запишана во </w:t>
      </w:r>
      <w:r>
        <w:rPr>
          <w:rFonts w:ascii="Arial" w:hAnsi="Arial" w:cs="Arial"/>
          <w:b/>
          <w:bCs/>
          <w:sz w:val="22"/>
          <w:szCs w:val="22"/>
          <w:lang w:val="mk-MK"/>
        </w:rPr>
        <w:t>имотен лист бр.110992 КО КИСЕЛА ВОДА 2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при АКН на РСМ со следните ознаки</w:t>
      </w:r>
    </w:p>
    <w:p w:rsidR="007E6B1E" w:rsidRDefault="007E6B1E" w:rsidP="007E6B1E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mk-MK"/>
        </w:rPr>
        <w:t>Лист В:</w:t>
      </w:r>
    </w:p>
    <w:p w:rsidR="007E6B1E" w:rsidRDefault="007E6B1E" w:rsidP="007E6B1E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КП 302, дел 9, адреса МЕТОДИЈА ШАТОРОВ ШАРЛО БР.5 А, бр.на зграда 27, нам.на зграда А2-1, влез 1, кат ПР, број 32, нам.на посебен дел ГМ, отворена површина 15 м2;</w:t>
      </w:r>
    </w:p>
    <w:p w:rsidR="007E6B1E" w:rsidRDefault="007E6B1E" w:rsidP="007E6B1E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:rsidR="007E6B1E" w:rsidRDefault="007E6B1E" w:rsidP="007E6B1E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 е утврдена со предлог за втора продажба на доверителот </w:t>
      </w:r>
      <w:r w:rsidRPr="00BA7929">
        <w:rPr>
          <w:rFonts w:ascii="Arial" w:hAnsi="Arial" w:cs="Arial"/>
          <w:b/>
          <w:bCs/>
          <w:color w:val="000000"/>
          <w:lang w:eastAsia="en-GB"/>
        </w:rPr>
        <w:t>Агенција за иновации,научно-технолошки развој и претприемништво на РСМ, како правен следбеник на Фонд за иновации и технолошки развој Скопје преку полномошник адвокат Владимир Стојановски од Скопје</w:t>
      </w:r>
      <w:r>
        <w:rPr>
          <w:rFonts w:ascii="Arial" w:hAnsi="Arial" w:cs="Arial"/>
          <w:sz w:val="22"/>
          <w:szCs w:val="22"/>
          <w:lang w:val="mk-MK"/>
        </w:rPr>
        <w:t xml:space="preserve"> од 31.10.2025 година на износ од </w:t>
      </w:r>
      <w:r>
        <w:rPr>
          <w:rFonts w:ascii="Arial" w:hAnsi="Arial" w:cs="Arial"/>
          <w:b/>
          <w:sz w:val="22"/>
          <w:szCs w:val="22"/>
          <w:lang w:val="mk-MK"/>
        </w:rPr>
        <w:t>8.550,00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 на денот на продажбата,  како почетна цена за продажба на недвижноста под која недвижноста не може да се продаде на второто јавно наддавање.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 xml:space="preserve">      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  <w:lang w:val="mk-MK"/>
        </w:rPr>
        <w:t xml:space="preserve">                                                                        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  <w:lang w:val="mk-MK"/>
        </w:rPr>
        <w:t xml:space="preserve">                   </w:t>
      </w:r>
    </w:p>
    <w:p w:rsidR="007E6B1E" w:rsidRDefault="007E6B1E" w:rsidP="007E6B1E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Pr="007E6B1E">
        <w:rPr>
          <w:rFonts w:ascii="Arial" w:hAnsi="Arial" w:cs="Arial"/>
          <w:b/>
          <w:sz w:val="22"/>
          <w:szCs w:val="22"/>
          <w:lang w:val="mk-MK"/>
        </w:rPr>
        <w:t>2</w:t>
      </w:r>
      <w:r w:rsidR="003537C7">
        <w:rPr>
          <w:rFonts w:ascii="Arial" w:hAnsi="Arial" w:cs="Arial"/>
          <w:b/>
          <w:sz w:val="22"/>
          <w:szCs w:val="22"/>
          <w:lang w:val="en-US"/>
        </w:rPr>
        <w:t>6</w:t>
      </w:r>
      <w:r w:rsidRPr="007E6B1E">
        <w:rPr>
          <w:rFonts w:ascii="Arial" w:hAnsi="Arial" w:cs="Arial"/>
          <w:b/>
          <w:sz w:val="22"/>
          <w:szCs w:val="22"/>
          <w:lang w:val="ru-RU"/>
        </w:rPr>
        <w:t>.11.</w:t>
      </w:r>
      <w:r>
        <w:rPr>
          <w:rFonts w:ascii="Arial" w:hAnsi="Arial" w:cs="Arial"/>
          <w:b/>
          <w:sz w:val="22"/>
          <w:szCs w:val="22"/>
          <w:lang w:val="ru-RU"/>
        </w:rPr>
        <w:t>202</w:t>
      </w:r>
      <w:r>
        <w:rPr>
          <w:rFonts w:ascii="Arial" w:hAnsi="Arial" w:cs="Arial"/>
          <w:b/>
          <w:sz w:val="22"/>
          <w:szCs w:val="22"/>
          <w:lang w:val="mk-MK"/>
        </w:rPr>
        <w:t>5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ru-RU"/>
        </w:rPr>
        <w:t xml:space="preserve">11:00 </w:t>
      </w:r>
      <w:r>
        <w:rPr>
          <w:rFonts w:ascii="Arial" w:hAnsi="Arial" w:cs="Arial"/>
          <w:b/>
          <w:sz w:val="22"/>
          <w:szCs w:val="22"/>
          <w:lang w:val="mk-MK"/>
        </w:rPr>
        <w:t>часот</w:t>
      </w:r>
      <w:r>
        <w:rPr>
          <w:rFonts w:ascii="Arial" w:hAnsi="Arial" w:cs="Arial"/>
          <w:sz w:val="22"/>
          <w:szCs w:val="22"/>
          <w:lang w:val="mk-MK"/>
        </w:rPr>
        <w:t xml:space="preserve">  во просториите на Извршителот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Весна Деловска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 xml:space="preserve">Недвижноста е оптоварена со следните товари и службености: </w:t>
      </w:r>
      <w:r>
        <w:rPr>
          <w:rFonts w:ascii="Arial" w:hAnsi="Arial" w:cs="Arial"/>
          <w:sz w:val="22"/>
          <w:szCs w:val="22"/>
          <w:lang w:val="ru-RU"/>
        </w:rPr>
        <w:t>право на реален товар со налог за извршување врз недвижност чл.166 од ЗИ И.бр.</w:t>
      </w:r>
      <w:r>
        <w:rPr>
          <w:rFonts w:ascii="Arial" w:hAnsi="Arial" w:cs="Arial"/>
          <w:sz w:val="22"/>
          <w:szCs w:val="22"/>
          <w:lang w:val="mk-MK"/>
        </w:rPr>
        <w:t>4659/2024</w:t>
      </w:r>
      <w:r>
        <w:rPr>
          <w:rFonts w:ascii="Arial" w:hAnsi="Arial" w:cs="Arial"/>
          <w:sz w:val="22"/>
          <w:szCs w:val="22"/>
          <w:lang w:val="ru-RU"/>
        </w:rPr>
        <w:t xml:space="preserve"> од 31.10.2024 на Извршител Весна Деловска Скопје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7E6B1E" w:rsidRDefault="007E6B1E" w:rsidP="007E6B1E">
      <w:pPr>
        <w:ind w:firstLine="72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сметка на извршителот со бр.250001002663794 која се води кај Шпаркасе банка Македонија АД Скопје и даночен број МК5080010500763, со назнака гаранција за И.бр.4659</w:t>
      </w:r>
      <w:r>
        <w:rPr>
          <w:rFonts w:ascii="Arial" w:hAnsi="Arial" w:cs="Arial"/>
          <w:sz w:val="22"/>
          <w:szCs w:val="22"/>
          <w:lang w:val="en-US"/>
        </w:rPr>
        <w:t>/202</w:t>
      </w:r>
      <w:r>
        <w:rPr>
          <w:rFonts w:ascii="Arial" w:hAnsi="Arial" w:cs="Arial"/>
          <w:sz w:val="22"/>
          <w:szCs w:val="22"/>
          <w:lang w:val="mk-MK"/>
        </w:rPr>
        <w:t>4</w:t>
      </w:r>
      <w:r>
        <w:rPr>
          <w:rFonts w:ascii="Arial" w:hAnsi="Arial" w:cs="Arial"/>
          <w:sz w:val="22"/>
          <w:szCs w:val="22"/>
        </w:rPr>
        <w:t>,</w:t>
      </w:r>
      <w:r w:rsidR="003537C7">
        <w:rPr>
          <w:rFonts w:ascii="Arial" w:hAnsi="Arial" w:cs="Arial"/>
          <w:b/>
          <w:sz w:val="22"/>
          <w:szCs w:val="22"/>
          <w:lang w:val="mk-MK"/>
        </w:rPr>
        <w:t xml:space="preserve"> најдоцна до </w:t>
      </w:r>
      <w:r w:rsidR="003537C7">
        <w:rPr>
          <w:rFonts w:ascii="Arial" w:hAnsi="Arial" w:cs="Arial"/>
          <w:b/>
          <w:sz w:val="22"/>
          <w:szCs w:val="22"/>
          <w:lang w:val="en-US"/>
        </w:rPr>
        <w:t>25</w:t>
      </w:r>
      <w:r>
        <w:rPr>
          <w:rFonts w:ascii="Arial" w:hAnsi="Arial" w:cs="Arial"/>
          <w:b/>
          <w:sz w:val="22"/>
          <w:szCs w:val="22"/>
          <w:lang w:val="mk-MK"/>
        </w:rPr>
        <w:t>.11.2025 година. Доказ за извршена уплата на име гаранција е Извод од посебната сметка на Извршителот</w:t>
      </w:r>
      <w:r>
        <w:rPr>
          <w:rFonts w:ascii="Arial" w:hAnsi="Arial" w:cs="Arial"/>
          <w:b/>
          <w:sz w:val="22"/>
          <w:szCs w:val="22"/>
          <w:lang w:val="en-US"/>
        </w:rPr>
        <w:t>.</w:t>
      </w:r>
    </w:p>
    <w:p w:rsidR="007E6B1E" w:rsidRDefault="007E6B1E" w:rsidP="007E6B1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 понудувачите чија понуда не е прифатена, гаранцијата им се враќа веднаш по заклучувањето на јавното наддавање. 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2"/>
          <w:szCs w:val="22"/>
          <w:lang w:val="ru-RU"/>
        </w:rPr>
        <w:t xml:space="preserve">15 </w:t>
      </w:r>
      <w:r>
        <w:rPr>
          <w:rFonts w:ascii="Arial" w:hAnsi="Arial" w:cs="Arial"/>
          <w:sz w:val="22"/>
          <w:szCs w:val="22"/>
          <w:lang w:val="mk-MK"/>
        </w:rPr>
        <w:t xml:space="preserve"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 Овој заклучок ќе се објави во следните средства за јавно информирање </w:t>
      </w:r>
      <w:r>
        <w:rPr>
          <w:rFonts w:ascii="Arial" w:hAnsi="Arial" w:cs="Arial"/>
          <w:sz w:val="22"/>
          <w:szCs w:val="22"/>
          <w:lang w:val="ru-RU"/>
        </w:rPr>
        <w:t>Нова Македонија и електронски на веб страницата на Комората на извршители</w:t>
      </w:r>
      <w:r>
        <w:rPr>
          <w:rFonts w:ascii="Arial" w:hAnsi="Arial" w:cs="Arial"/>
          <w:sz w:val="22"/>
          <w:szCs w:val="22"/>
          <w:lang w:val="mk-MK"/>
        </w:rPr>
        <w:t>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E6B1E" w:rsidRDefault="007E6B1E" w:rsidP="007E6B1E">
      <w:pPr>
        <w:ind w:firstLine="720"/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 xml:space="preserve">   </w:t>
      </w:r>
      <w:r>
        <w:rPr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  <w:lang w:val="mk-MK"/>
        </w:rPr>
        <w:t xml:space="preserve">      </w:t>
      </w:r>
    </w:p>
    <w:p w:rsidR="007E6B1E" w:rsidRDefault="007E6B1E" w:rsidP="007E6B1E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mk-MK"/>
        </w:rPr>
        <w:t xml:space="preserve">          </w:t>
      </w:r>
      <w:r>
        <w:rPr>
          <w:rFonts w:ascii="Calibri" w:hAnsi="Calibri"/>
          <w:b/>
          <w:sz w:val="22"/>
          <w:szCs w:val="22"/>
          <w:lang w:val="en-US"/>
        </w:rPr>
        <w:t xml:space="preserve">  </w:t>
      </w:r>
      <w:r>
        <w:rPr>
          <w:rFonts w:ascii="Arial" w:hAnsi="Arial" w:cs="Arial"/>
          <w:b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2"/>
        <w:gridCol w:w="5229"/>
      </w:tblGrid>
      <w:tr w:rsidR="007E6B1E" w:rsidTr="007E6B1E">
        <w:tc>
          <w:tcPr>
            <w:tcW w:w="5377" w:type="dxa"/>
          </w:tcPr>
          <w:p w:rsidR="007E6B1E" w:rsidRDefault="007E6B1E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</w:tcPr>
          <w:p w:rsidR="007E6B1E" w:rsidRDefault="007E6B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k-MK" w:eastAsia="mk-MK"/>
              </w:rPr>
              <w:t xml:space="preserve">                  Весна Деловска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  <w:p w:rsidR="007E6B1E" w:rsidRDefault="007E6B1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k-MK" w:eastAsia="mk-MK"/>
              </w:rPr>
            </w:pPr>
          </w:p>
          <w:p w:rsidR="007E6B1E" w:rsidRDefault="007E6B1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k-MK" w:eastAsia="mk-MK"/>
              </w:rPr>
            </w:pPr>
          </w:p>
        </w:tc>
      </w:tr>
    </w:tbl>
    <w:p w:rsidR="007E6B1E" w:rsidRDefault="007E6B1E" w:rsidP="007E6B1E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         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 </w:t>
      </w:r>
    </w:p>
    <w:p w:rsidR="007E6B1E" w:rsidRDefault="007E6B1E" w:rsidP="007E6B1E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Д.-на:  Доверител, </w:t>
      </w:r>
    </w:p>
    <w:p w:rsidR="007E6B1E" w:rsidRDefault="007E6B1E" w:rsidP="007E6B1E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Должник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ЗЛАТНА РАКА -М ДООЕЛ увоз извоз Скопје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7E6B1E" w:rsidRDefault="007E6B1E" w:rsidP="007E6B1E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Архива</w:t>
      </w:r>
    </w:p>
    <w:p w:rsidR="007E6B1E" w:rsidRDefault="007E6B1E" w:rsidP="007E6B1E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:rsidR="007E6B1E" w:rsidRDefault="007E6B1E" w:rsidP="007E6B1E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:rsidR="007E6B1E" w:rsidRDefault="007E6B1E" w:rsidP="007E6B1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Правна поука:</w:t>
      </w:r>
      <w:r>
        <w:rPr>
          <w:rFonts w:ascii="Arial" w:hAnsi="Arial" w:cs="Arial"/>
          <w:sz w:val="22"/>
          <w:szCs w:val="22"/>
          <w:lang w:val="mk-MK"/>
        </w:rPr>
        <w:t xml:space="preserve"> Против овој заклучок може да се поднесе приговор до Основниот суд согласно одредбите на член 86 од Законот за извршување</w:t>
      </w:r>
    </w:p>
    <w:p w:rsidR="007E6B1E" w:rsidRDefault="007E6B1E" w:rsidP="007E6B1E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E6B1E" w:rsidRDefault="007E6B1E" w:rsidP="007E6B1E">
      <w:pPr>
        <w:jc w:val="center"/>
        <w:rPr>
          <w:rFonts w:ascii="Arial" w:hAnsi="Arial" w:cs="Arial"/>
          <w:lang w:val="mk-MK"/>
        </w:rPr>
      </w:pPr>
    </w:p>
    <w:p w:rsidR="007E6B1E" w:rsidRDefault="007E6B1E" w:rsidP="007E6B1E">
      <w:pPr>
        <w:jc w:val="center"/>
        <w:rPr>
          <w:rFonts w:ascii="Arial" w:hAnsi="Arial" w:cs="Arial"/>
          <w:lang w:val="mk-MK"/>
        </w:rPr>
      </w:pPr>
    </w:p>
    <w:p w:rsidR="00AC774B" w:rsidRDefault="00AC774B" w:rsidP="007E6B1E">
      <w:pPr>
        <w:jc w:val="center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7F72B7"/>
    <w:multiLevelType w:val="hybridMultilevel"/>
    <w:tmpl w:val="8F2CF14E"/>
    <w:lvl w:ilvl="0" w:tplc="E76C9F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F8"/>
    <w:rsid w:val="0015082C"/>
    <w:rsid w:val="00162356"/>
    <w:rsid w:val="001D1202"/>
    <w:rsid w:val="00285A4E"/>
    <w:rsid w:val="002D6E87"/>
    <w:rsid w:val="00334708"/>
    <w:rsid w:val="003537C7"/>
    <w:rsid w:val="003711E6"/>
    <w:rsid w:val="003F4FE9"/>
    <w:rsid w:val="004658F5"/>
    <w:rsid w:val="004F6FF8"/>
    <w:rsid w:val="005B06D5"/>
    <w:rsid w:val="005E2113"/>
    <w:rsid w:val="005E2B25"/>
    <w:rsid w:val="00606449"/>
    <w:rsid w:val="0062796F"/>
    <w:rsid w:val="0064483F"/>
    <w:rsid w:val="006808FC"/>
    <w:rsid w:val="006971FC"/>
    <w:rsid w:val="00732E9D"/>
    <w:rsid w:val="00773850"/>
    <w:rsid w:val="007A2159"/>
    <w:rsid w:val="007B46B2"/>
    <w:rsid w:val="007E6B1E"/>
    <w:rsid w:val="00843B8B"/>
    <w:rsid w:val="008C7246"/>
    <w:rsid w:val="00905C7E"/>
    <w:rsid w:val="009576E7"/>
    <w:rsid w:val="009920A2"/>
    <w:rsid w:val="00A1680D"/>
    <w:rsid w:val="00A33E8F"/>
    <w:rsid w:val="00A36AF4"/>
    <w:rsid w:val="00AA634A"/>
    <w:rsid w:val="00AC774B"/>
    <w:rsid w:val="00AF6DA8"/>
    <w:rsid w:val="00BA7929"/>
    <w:rsid w:val="00BF4AB8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65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8F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65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8F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74;&#1090;&#1086;&#1088;&#1072;%20&#1091;&#1089;&#1085;&#1072;%20&#1112;&#1072;&#1074;&#1085;&#1072;%20&#1087;&#1088;&#1086;&#1076;&#1072;&#1078;&#1073;&#1072;%20&#1079;&#1072;%20&#1075;&#1072;&#1088;&#1072;&#1078;&#1072;&#1090;&#1072;%20_03.11.2025_40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втора усна јавна продажба за гаражата _03.11.2025_4023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2</cp:revision>
  <cp:lastPrinted>2025-11-04T08:37:00Z</cp:lastPrinted>
  <dcterms:created xsi:type="dcterms:W3CDTF">2025-11-04T14:28:00Z</dcterms:created>
  <dcterms:modified xsi:type="dcterms:W3CDTF">2025-11-04T14:28:00Z</dcterms:modified>
</cp:coreProperties>
</file>