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74"/>
        <w:gridCol w:w="563"/>
        <w:gridCol w:w="985"/>
        <w:gridCol w:w="2960"/>
      </w:tblGrid>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lang w:val="ru-RU"/>
              </w:rPr>
            </w:pPr>
          </w:p>
        </w:tc>
      </w:tr>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b/>
                <w:lang w:val="ru-RU"/>
              </w:rPr>
            </w:pP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r>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hideMark/>
          </w:tcPr>
          <w:p w:rsidR="007C7D4F" w:rsidRPr="00823825" w:rsidRDefault="007C7D4F" w:rsidP="004179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Катерина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Кокина</w:t>
            </w:r>
            <w:proofErr w:type="spellEnd"/>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r>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Pr>
                <w:rFonts w:ascii="Arial" w:eastAsia="Times New Roman" w:hAnsi="Arial" w:cs="Arial"/>
                <w:b/>
              </w:rPr>
              <w:t xml:space="preserve"> на</w:t>
            </w: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Pr>
                <w:rFonts w:ascii="Arial" w:eastAsia="Times New Roman" w:hAnsi="Arial" w:cs="Arial"/>
                <w:b/>
                <w:lang w:val="en-US"/>
              </w:rPr>
              <w:t>1542/2021</w:t>
            </w:r>
            <w:r w:rsidRPr="00DB4229">
              <w:rPr>
                <w:rFonts w:ascii="Arial" w:eastAsia="Times New Roman" w:hAnsi="Arial" w:cs="Arial"/>
                <w:b/>
                <w:lang w:val="en-US"/>
              </w:rPr>
              <w:t xml:space="preserve"> </w:t>
            </w:r>
          </w:p>
        </w:tc>
      </w:tr>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Скопје 1 и Скопје 2</w:t>
            </w: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r>
      <w:tr w:rsidR="007C7D4F" w:rsidRPr="00DB4229" w:rsidTr="004179EC">
        <w:tc>
          <w:tcPr>
            <w:tcW w:w="6204" w:type="dxa"/>
            <w:hideMark/>
          </w:tcPr>
          <w:p w:rsidR="007C7D4F" w:rsidRPr="00DB4229" w:rsidRDefault="007C7D4F" w:rsidP="004179EC">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Бул.</w:t>
            </w:r>
            <w:proofErr w:type="spellStart"/>
            <w:r>
              <w:rPr>
                <w:rFonts w:ascii="Arial" w:eastAsia="Times New Roman" w:hAnsi="Arial" w:cs="Arial"/>
                <w:b/>
                <w:lang w:val="en-US"/>
              </w:rPr>
              <w:t>Св</w:t>
            </w:r>
            <w:proofErr w:type="spellEnd"/>
            <w:proofErr w:type="gramStart"/>
            <w:r>
              <w:rPr>
                <w:rFonts w:ascii="Arial" w:eastAsia="Times New Roman" w:hAnsi="Arial" w:cs="Arial"/>
                <w:b/>
                <w:lang w:val="en-US"/>
              </w:rPr>
              <w:t>.„</w:t>
            </w:r>
            <w:proofErr w:type="spellStart"/>
            <w:proofErr w:type="gramEnd"/>
            <w:r>
              <w:rPr>
                <w:rFonts w:ascii="Arial" w:eastAsia="Times New Roman" w:hAnsi="Arial" w:cs="Arial"/>
                <w:b/>
                <w:lang w:val="en-US"/>
              </w:rPr>
              <w:t>Климент</w:t>
            </w:r>
            <w:proofErr w:type="spellEnd"/>
            <w:r>
              <w:rPr>
                <w:rFonts w:ascii="Arial" w:eastAsia="Times New Roman" w:hAnsi="Arial" w:cs="Arial"/>
                <w:b/>
                <w:lang w:val="en-US"/>
              </w:rPr>
              <w:t xml:space="preserve"> </w:t>
            </w:r>
            <w:proofErr w:type="spellStart"/>
            <w:r>
              <w:rPr>
                <w:rFonts w:ascii="Arial" w:eastAsia="Times New Roman" w:hAnsi="Arial" w:cs="Arial"/>
                <w:b/>
                <w:lang w:val="en-US"/>
              </w:rPr>
              <w:t>Охридски</w:t>
            </w:r>
            <w:proofErr w:type="spellEnd"/>
            <w:r>
              <w:rPr>
                <w:rFonts w:ascii="Arial" w:eastAsia="Times New Roman" w:hAnsi="Arial" w:cs="Arial"/>
                <w:b/>
                <w:lang w:val="en-US"/>
              </w:rPr>
              <w:t>“ бр.52/1-9</w:t>
            </w: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r>
      <w:tr w:rsidR="007C7D4F" w:rsidRPr="00DB4229" w:rsidTr="004179EC">
        <w:tc>
          <w:tcPr>
            <w:tcW w:w="6204" w:type="dxa"/>
            <w:hideMark/>
          </w:tcPr>
          <w:p w:rsidR="007C7D4F" w:rsidRDefault="007C7D4F" w:rsidP="004179EC">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w:t>
            </w:r>
            <w:proofErr w:type="spellStart"/>
            <w:r>
              <w:rPr>
                <w:rFonts w:ascii="Arial" w:eastAsia="Times New Roman" w:hAnsi="Arial" w:cs="Arial"/>
                <w:b/>
                <w:lang w:val="en-US"/>
              </w:rPr>
              <w:t>факс</w:t>
            </w:r>
            <w:proofErr w:type="spellEnd"/>
            <w:r>
              <w:rPr>
                <w:rFonts w:ascii="Arial" w:eastAsia="Times New Roman" w:hAnsi="Arial" w:cs="Arial"/>
                <w:b/>
                <w:lang w:val="en-US"/>
              </w:rPr>
              <w:t>:(02) 3256-010</w:t>
            </w:r>
          </w:p>
          <w:p w:rsidR="007C7D4F" w:rsidRDefault="007C7D4F" w:rsidP="004179EC">
            <w:pPr>
              <w:tabs>
                <w:tab w:val="center" w:pos="2268"/>
              </w:tabs>
              <w:spacing w:after="0" w:line="240" w:lineRule="auto"/>
              <w:jc w:val="center"/>
              <w:rPr>
                <w:rFonts w:ascii="Arial" w:eastAsia="Times New Roman" w:hAnsi="Arial" w:cs="Arial"/>
                <w:b/>
                <w:lang w:val="en-US"/>
              </w:rPr>
            </w:pPr>
            <w:proofErr w:type="spellStart"/>
            <w:r>
              <w:rPr>
                <w:rFonts w:ascii="Arial" w:eastAsia="Times New Roman" w:hAnsi="Arial" w:cs="Arial"/>
                <w:b/>
                <w:lang w:val="en-US"/>
              </w:rPr>
              <w:t>мобилен</w:t>
            </w:r>
            <w:proofErr w:type="spellEnd"/>
            <w:r>
              <w:rPr>
                <w:rFonts w:ascii="Arial" w:eastAsia="Times New Roman" w:hAnsi="Arial" w:cs="Arial"/>
                <w:b/>
                <w:lang w:val="en-US"/>
              </w:rPr>
              <w:t>:(078) 458-841</w:t>
            </w:r>
          </w:p>
          <w:p w:rsidR="007C7D4F" w:rsidRDefault="007C7D4F" w:rsidP="004179E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katerina.kokina@izvrsitel.info</w:t>
            </w:r>
          </w:p>
          <w:p w:rsidR="007C7D4F" w:rsidRPr="00DB4229" w:rsidRDefault="007C7D4F" w:rsidP="004179EC">
            <w:pPr>
              <w:tabs>
                <w:tab w:val="center" w:pos="2268"/>
              </w:tabs>
              <w:spacing w:after="0" w:line="240" w:lineRule="auto"/>
              <w:jc w:val="center"/>
              <w:rPr>
                <w:rFonts w:ascii="Arial" w:eastAsia="Times New Roman" w:hAnsi="Arial" w:cs="Arial"/>
                <w:b/>
                <w:lang w:val="en-US"/>
              </w:rPr>
            </w:pPr>
          </w:p>
        </w:tc>
        <w:tc>
          <w:tcPr>
            <w:tcW w:w="566"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993"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c>
          <w:tcPr>
            <w:tcW w:w="2977" w:type="dxa"/>
          </w:tcPr>
          <w:p w:rsidR="007C7D4F" w:rsidRPr="00DB4229" w:rsidRDefault="007C7D4F" w:rsidP="004179EC">
            <w:pPr>
              <w:tabs>
                <w:tab w:val="center" w:pos="2268"/>
              </w:tabs>
              <w:spacing w:after="0" w:line="240" w:lineRule="auto"/>
              <w:jc w:val="both"/>
              <w:rPr>
                <w:rFonts w:ascii="Arial" w:eastAsia="Times New Roman" w:hAnsi="Arial" w:cs="Arial"/>
                <w:b/>
                <w:lang w:val="ru-RU"/>
              </w:rPr>
            </w:pPr>
          </w:p>
        </w:tc>
      </w:tr>
    </w:tbl>
    <w:p w:rsidR="007C7D4F" w:rsidRDefault="007C7D4F" w:rsidP="007C7D4F">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7C7D4F" w:rsidRDefault="007C7D4F" w:rsidP="007C7D4F">
      <w:pPr>
        <w:spacing w:after="0" w:line="240" w:lineRule="auto"/>
        <w:ind w:firstLine="720"/>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Катерина Кокина од </w:t>
      </w:r>
      <w:bookmarkStart w:id="7" w:name="Adresa"/>
      <w:bookmarkEnd w:id="7"/>
      <w:r>
        <w:rPr>
          <w:rFonts w:ascii="Arial" w:hAnsi="Arial" w:cs="Arial"/>
        </w:rPr>
        <w:t xml:space="preserve">Скопје, Бул.Св.„Кл                                                                                                                                                                                                                                                                                                                                                                                                                                                                                                                                                                                                                                                                                                                                                                                                                                                                    имент Охридски“ бр.52/1-9 врз основа на барањето за спроведување на извршување од </w:t>
      </w:r>
      <w:bookmarkStart w:id="8" w:name="Doveritel1"/>
      <w:bookmarkEnd w:id="8"/>
      <w:r>
        <w:rPr>
          <w:rFonts w:ascii="Arial" w:hAnsi="Arial" w:cs="Arial"/>
        </w:rPr>
        <w:t xml:space="preserve">доверителот СТОПАНСКА БАНКА АД - Скопје од </w:t>
      </w:r>
      <w:bookmarkStart w:id="9" w:name="DovGrad1"/>
      <w:bookmarkEnd w:id="9"/>
      <w:r>
        <w:rPr>
          <w:rFonts w:ascii="Arial" w:hAnsi="Arial" w:cs="Arial"/>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ЕДБ 4030996116744 и ЕМБС 4065549 </w:t>
      </w:r>
      <w:bookmarkStart w:id="11" w:name="edb1"/>
      <w:bookmarkEnd w:id="11"/>
      <w:r>
        <w:rPr>
          <w:rFonts w:ascii="Arial" w:hAnsi="Arial" w:cs="Arial"/>
        </w:rPr>
        <w:t xml:space="preserve"> </w:t>
      </w:r>
      <w:bookmarkStart w:id="12" w:name="opis_sed1"/>
      <w:bookmarkEnd w:id="12"/>
      <w:r>
        <w:rPr>
          <w:rFonts w:ascii="Arial" w:hAnsi="Arial" w:cs="Arial"/>
        </w:rPr>
        <w:t xml:space="preserve">и седиште на  </w:t>
      </w:r>
      <w:bookmarkStart w:id="13" w:name="adresa1"/>
      <w:bookmarkEnd w:id="13"/>
      <w:r>
        <w:rPr>
          <w:rFonts w:ascii="Arial" w:hAnsi="Arial" w:cs="Arial"/>
        </w:rPr>
        <w:t>ул.,,11 Октомври" бр.7</w:t>
      </w:r>
      <w:r>
        <w:rPr>
          <w:rFonts w:ascii="Arial" w:hAnsi="Arial" w:cs="Arial"/>
          <w:lang w:val="ru-RU"/>
        </w:rPr>
        <w:t>,</w:t>
      </w:r>
      <w:r>
        <w:rPr>
          <w:rFonts w:ascii="Arial" w:hAnsi="Arial" w:cs="Arial"/>
        </w:rPr>
        <w:t xml:space="preserve"> </w:t>
      </w:r>
      <w:bookmarkStart w:id="14" w:name="Doveritel2"/>
      <w:bookmarkStart w:id="15" w:name="Doveritel3"/>
      <w:bookmarkStart w:id="16" w:name="Doveritel4"/>
      <w:bookmarkStart w:id="17" w:name="Doveritel5"/>
      <w:bookmarkEnd w:id="14"/>
      <w:bookmarkEnd w:id="15"/>
      <w:bookmarkEnd w:id="16"/>
      <w:bookmarkEnd w:id="17"/>
      <w:r>
        <w:rPr>
          <w:rFonts w:ascii="Arial" w:hAnsi="Arial" w:cs="Arial"/>
        </w:rPr>
        <w:t xml:space="preserve"> засновано на извршната исправа </w:t>
      </w:r>
      <w:bookmarkStart w:id="18" w:name="IzvIsprava"/>
      <w:bookmarkEnd w:id="18"/>
      <w:r>
        <w:rPr>
          <w:rFonts w:ascii="Arial" w:hAnsi="Arial" w:cs="Arial"/>
        </w:rPr>
        <w:t>Нотарски акт ОДУ 317/15 од 12.06.2015 година на Нотар Верица Симоновска Синадинова од Скопје, против:</w:t>
      </w:r>
    </w:p>
    <w:p w:rsidR="007C7D4F" w:rsidRDefault="007C7D4F" w:rsidP="007C7D4F">
      <w:pPr>
        <w:spacing w:after="0" w:line="240" w:lineRule="auto"/>
        <w:ind w:firstLine="720"/>
        <w:jc w:val="both"/>
        <w:rPr>
          <w:rFonts w:ascii="Arial" w:hAnsi="Arial" w:cs="Arial"/>
        </w:rPr>
      </w:pPr>
      <w:r>
        <w:rPr>
          <w:rFonts w:ascii="Arial" w:hAnsi="Arial" w:cs="Arial"/>
        </w:rPr>
        <w:t>-Исмаили Џевдет  од Тетово со живеалиште на ул.101 бб Џепчиште – заложен должник;</w:t>
      </w:r>
    </w:p>
    <w:p w:rsidR="007C7D4F" w:rsidRDefault="007C7D4F" w:rsidP="007C7D4F">
      <w:pPr>
        <w:spacing w:after="0" w:line="240" w:lineRule="auto"/>
        <w:ind w:firstLine="720"/>
        <w:jc w:val="both"/>
        <w:rPr>
          <w:rFonts w:ascii="Arial" w:hAnsi="Arial" w:cs="Arial"/>
        </w:rPr>
      </w:pPr>
      <w:r>
        <w:rPr>
          <w:rFonts w:ascii="Arial" w:hAnsi="Arial" w:cs="Arial"/>
        </w:rPr>
        <w:t>-Исмаили Џеваир  од Тетово со живеалиште на ул.101 бб Џепчиште– заложен должник;</w:t>
      </w:r>
    </w:p>
    <w:p w:rsidR="007C7D4F" w:rsidRDefault="007C7D4F" w:rsidP="007C7D4F">
      <w:pPr>
        <w:spacing w:after="0" w:line="240" w:lineRule="auto"/>
        <w:ind w:firstLine="720"/>
        <w:jc w:val="both"/>
        <w:rPr>
          <w:rFonts w:ascii="Arial" w:hAnsi="Arial" w:cs="Arial"/>
        </w:rPr>
      </w:pPr>
      <w:r>
        <w:rPr>
          <w:rFonts w:ascii="Arial" w:hAnsi="Arial" w:cs="Arial"/>
        </w:rPr>
        <w:t>-Исмаили Бурим  од Тетово со живеалиште на ул.101 бб Џепчиште– заложен должник;</w:t>
      </w:r>
    </w:p>
    <w:p w:rsidR="007C7D4F" w:rsidRDefault="007C7D4F" w:rsidP="007C7D4F">
      <w:pPr>
        <w:autoSpaceDE w:val="0"/>
        <w:autoSpaceDN w:val="0"/>
        <w:adjustRightInd w:val="0"/>
        <w:spacing w:after="0" w:line="240" w:lineRule="auto"/>
        <w:jc w:val="both"/>
        <w:rPr>
          <w:rFonts w:ascii="Arial" w:hAnsi="Arial" w:cs="Arial"/>
        </w:rPr>
      </w:pPr>
      <w:r>
        <w:rPr>
          <w:rFonts w:ascii="Arial" w:hAnsi="Arial" w:cs="Arial"/>
        </w:rPr>
        <w:t xml:space="preserve">за спроведување на извршување во вредност 37.366.666,00 денари  </w:t>
      </w:r>
      <w:bookmarkStart w:id="19" w:name="VredPredmet"/>
      <w:bookmarkEnd w:id="19"/>
      <w:r>
        <w:rPr>
          <w:rFonts w:ascii="Arial" w:hAnsi="Arial" w:cs="Arial"/>
        </w:rPr>
        <w:t xml:space="preserve">на ден </w:t>
      </w:r>
      <w:bookmarkStart w:id="20" w:name="DatumIzdava"/>
      <w:bookmarkEnd w:id="20"/>
      <w:r>
        <w:rPr>
          <w:rFonts w:ascii="Arial" w:hAnsi="Arial" w:cs="Arial"/>
        </w:rPr>
        <w:t>19.09.2022 година го донесува следниот:</w:t>
      </w:r>
    </w:p>
    <w:p w:rsidR="007C7D4F" w:rsidRDefault="007C7D4F" w:rsidP="007C7D4F">
      <w:pPr>
        <w:autoSpaceDE w:val="0"/>
        <w:autoSpaceDN w:val="0"/>
        <w:adjustRightInd w:val="0"/>
        <w:spacing w:after="0" w:line="240" w:lineRule="auto"/>
        <w:rPr>
          <w:rFonts w:ascii="Arial" w:hAnsi="Arial" w:cs="Arial"/>
        </w:rPr>
      </w:pPr>
      <w:r>
        <w:rPr>
          <w:rFonts w:ascii="Arial" w:hAnsi="Arial" w:cs="Arial"/>
        </w:rPr>
        <w:t xml:space="preserve">                                                                                                                                                                   </w:t>
      </w:r>
    </w:p>
    <w:p w:rsidR="007C7D4F" w:rsidRDefault="007C7D4F" w:rsidP="007C7D4F">
      <w:pPr>
        <w:spacing w:after="0"/>
        <w:jc w:val="center"/>
        <w:rPr>
          <w:rFonts w:ascii="Arial" w:hAnsi="Arial" w:cs="Arial"/>
          <w:b/>
        </w:rPr>
      </w:pPr>
      <w:r>
        <w:rPr>
          <w:rFonts w:ascii="Arial" w:hAnsi="Arial" w:cs="Arial"/>
          <w:b/>
        </w:rPr>
        <w:t>З А К Л У Ч О К</w:t>
      </w:r>
    </w:p>
    <w:p w:rsidR="007C7D4F" w:rsidRDefault="007C7D4F" w:rsidP="007C7D4F">
      <w:pPr>
        <w:spacing w:after="0"/>
        <w:jc w:val="center"/>
        <w:rPr>
          <w:rFonts w:ascii="Arial" w:hAnsi="Arial" w:cs="Arial"/>
          <w:b/>
        </w:rPr>
      </w:pPr>
      <w:r>
        <w:rPr>
          <w:rFonts w:ascii="Arial" w:hAnsi="Arial" w:cs="Arial"/>
          <w:b/>
        </w:rPr>
        <w:t>ЗА ВТОРА УСНА ЈАВНА ПРОДАЖБА</w:t>
      </w:r>
    </w:p>
    <w:p w:rsidR="007C7D4F" w:rsidRDefault="007C7D4F" w:rsidP="007C7D4F">
      <w:pPr>
        <w:spacing w:after="0"/>
        <w:jc w:val="center"/>
        <w:rPr>
          <w:rFonts w:ascii="Arial" w:hAnsi="Arial" w:cs="Arial"/>
          <w:b/>
        </w:rPr>
      </w:pPr>
      <w:r>
        <w:rPr>
          <w:rFonts w:ascii="Arial" w:hAnsi="Arial" w:cs="Arial"/>
          <w:b/>
        </w:rPr>
        <w:t xml:space="preserve">(врз основа на членовите 179 став (1), 181 став (1), 182 став (1) и 205- а од </w:t>
      </w:r>
      <w:r>
        <w:rPr>
          <w:rFonts w:ascii="Arial" w:hAnsi="Arial" w:cs="Arial"/>
          <w:b/>
          <w:bCs/>
        </w:rPr>
        <w:t>Законот за извршување</w:t>
      </w:r>
      <w:r>
        <w:rPr>
          <w:rFonts w:ascii="Arial" w:hAnsi="Arial" w:cs="Arial"/>
          <w:b/>
        </w:rPr>
        <w:t>)</w:t>
      </w:r>
    </w:p>
    <w:p w:rsidR="007C7D4F" w:rsidRDefault="007C7D4F" w:rsidP="007C7D4F">
      <w:pPr>
        <w:autoSpaceDE w:val="0"/>
        <w:autoSpaceDN w:val="0"/>
        <w:adjustRightInd w:val="0"/>
        <w:spacing w:after="0" w:line="240" w:lineRule="auto"/>
        <w:rPr>
          <w:rFonts w:ascii="Arial" w:hAnsi="Arial" w:cs="Arial"/>
        </w:rPr>
      </w:pPr>
    </w:p>
    <w:p w:rsidR="007C7D4F" w:rsidRDefault="007C7D4F" w:rsidP="007C7D4F">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t>СЕ ОПРЕДЕЛУВА втора продажба со усно  јавно наддавање на недвижноста евидентирана во:</w:t>
      </w:r>
    </w:p>
    <w:p w:rsidR="007C7D4F" w:rsidRDefault="007C7D4F" w:rsidP="007C7D4F">
      <w:pPr>
        <w:autoSpaceDE w:val="0"/>
        <w:autoSpaceDN w:val="0"/>
        <w:adjustRightInd w:val="0"/>
        <w:spacing w:after="0" w:line="240" w:lineRule="auto"/>
        <w:rPr>
          <w:rFonts w:ascii="Arial" w:hAnsi="Arial" w:cs="Arial"/>
        </w:rPr>
      </w:pPr>
    </w:p>
    <w:p w:rsidR="007C7D4F" w:rsidRDefault="007C7D4F" w:rsidP="007C7D4F">
      <w:pPr>
        <w:ind w:firstLine="720"/>
        <w:jc w:val="both"/>
        <w:rPr>
          <w:rFonts w:ascii="Arial" w:hAnsi="Arial" w:cs="Arial"/>
          <w:b/>
          <w:u w:val="single"/>
        </w:rPr>
      </w:pPr>
      <w:r>
        <w:rPr>
          <w:rFonts w:ascii="Arial" w:hAnsi="Arial" w:cs="Arial"/>
          <w:b/>
          <w:u w:val="single"/>
        </w:rPr>
        <w:t xml:space="preserve">1.Имотен лист број:3533 КО Бутел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21"/>
        <w:gridCol w:w="82"/>
        <w:gridCol w:w="674"/>
        <w:gridCol w:w="1589"/>
        <w:gridCol w:w="551"/>
        <w:gridCol w:w="987"/>
        <w:gridCol w:w="917"/>
        <w:gridCol w:w="1320"/>
        <w:gridCol w:w="1496"/>
      </w:tblGrid>
      <w:tr w:rsidR="007C7D4F" w:rsidTr="004179EC">
        <w:tc>
          <w:tcPr>
            <w:tcW w:w="646" w:type="dxa"/>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Р.бр.</w:t>
            </w:r>
          </w:p>
        </w:tc>
        <w:tc>
          <w:tcPr>
            <w:tcW w:w="1577" w:type="dxa"/>
            <w:gridSpan w:val="3"/>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Број на катастарска парцела</w:t>
            </w:r>
          </w:p>
        </w:tc>
        <w:tc>
          <w:tcPr>
            <w:tcW w:w="1589" w:type="dxa"/>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Викано место /улица</w:t>
            </w:r>
          </w:p>
        </w:tc>
        <w:tc>
          <w:tcPr>
            <w:tcW w:w="2455" w:type="dxa"/>
            <w:gridSpan w:val="3"/>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катастарска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Површина во м2</w:t>
            </w:r>
          </w:p>
        </w:tc>
        <w:tc>
          <w:tcPr>
            <w:tcW w:w="1496" w:type="dxa"/>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култура</w:t>
            </w:r>
          </w:p>
        </w:tc>
        <w:tc>
          <w:tcPr>
            <w:tcW w:w="917" w:type="dxa"/>
            <w:vMerge w:val="restart"/>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класа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r>
      <w:tr w:rsidR="007C7D4F" w:rsidTr="004179E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903" w:type="dxa"/>
            <w:gridSpan w:val="2"/>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основен</w:t>
            </w:r>
          </w:p>
        </w:tc>
        <w:tc>
          <w:tcPr>
            <w:tcW w:w="674"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D4F" w:rsidRDefault="007C7D4F" w:rsidP="004179EC">
            <w:pPr>
              <w:spacing w:after="0" w:line="240" w:lineRule="auto"/>
              <w:rPr>
                <w:rFonts w:ascii="Arial" w:hAnsi="Arial" w:cs="Arial"/>
                <w:bCs/>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1.</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1</w:t>
            </w: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2650</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2.</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2</w:t>
            </w: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349</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3.</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50000 1</w:t>
            </w:r>
          </w:p>
        </w:tc>
        <w:tc>
          <w:tcPr>
            <w:tcW w:w="917"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949</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4.</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50000 2</w:t>
            </w:r>
          </w:p>
        </w:tc>
        <w:tc>
          <w:tcPr>
            <w:tcW w:w="917"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798</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rPr>
                <w:rFonts w:ascii="Arial" w:hAnsi="Arial" w:cs="Arial"/>
                <w:bCs/>
                <w:sz w:val="18"/>
                <w:szCs w:val="18"/>
              </w:rPr>
            </w:pPr>
            <w:r>
              <w:rPr>
                <w:rFonts w:ascii="Arial" w:hAnsi="Arial" w:cs="Arial"/>
                <w:bCs/>
                <w:sz w:val="18"/>
                <w:szCs w:val="18"/>
              </w:rPr>
              <w:t>5.</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center"/>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7C7D4F" w:rsidRDefault="007C7D4F" w:rsidP="004179EC">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70000</w:t>
            </w:r>
          </w:p>
        </w:tc>
        <w:tc>
          <w:tcPr>
            <w:tcW w:w="917"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993</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rPr>
                <w:rFonts w:ascii="Arial" w:hAnsi="Arial" w:cs="Arial"/>
                <w:bCs/>
                <w:sz w:val="18"/>
                <w:szCs w:val="18"/>
              </w:rPr>
            </w:pPr>
            <w:r>
              <w:rPr>
                <w:rFonts w:ascii="Arial" w:hAnsi="Arial" w:cs="Arial"/>
                <w:bCs/>
                <w:sz w:val="18"/>
                <w:szCs w:val="18"/>
              </w:rPr>
              <w:t>6.</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7C7D4F" w:rsidRDefault="007C7D4F" w:rsidP="004179EC">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11000</w:t>
            </w:r>
          </w:p>
        </w:tc>
        <w:tc>
          <w:tcPr>
            <w:tcW w:w="91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1762</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r w:rsidR="007C7D4F" w:rsidTr="004179EC">
        <w:tc>
          <w:tcPr>
            <w:tcW w:w="646" w:type="dxa"/>
            <w:tcBorders>
              <w:top w:val="single" w:sz="4" w:space="0" w:color="auto"/>
              <w:left w:val="single" w:sz="4" w:space="0" w:color="auto"/>
              <w:bottom w:val="single" w:sz="4" w:space="0" w:color="auto"/>
              <w:right w:val="single" w:sz="4" w:space="0" w:color="auto"/>
            </w:tcBorders>
            <w:hideMark/>
          </w:tcPr>
          <w:p w:rsidR="007C7D4F" w:rsidRDefault="007C7D4F" w:rsidP="004179EC">
            <w:pPr>
              <w:rPr>
                <w:rFonts w:ascii="Arial" w:hAnsi="Arial" w:cs="Arial"/>
                <w:bCs/>
                <w:sz w:val="18"/>
                <w:szCs w:val="18"/>
              </w:rPr>
            </w:pPr>
            <w:r>
              <w:rPr>
                <w:rFonts w:ascii="Arial" w:hAnsi="Arial" w:cs="Arial"/>
                <w:bCs/>
                <w:sz w:val="18"/>
                <w:szCs w:val="18"/>
              </w:rPr>
              <w:t>7.</w:t>
            </w:r>
          </w:p>
        </w:tc>
        <w:tc>
          <w:tcPr>
            <w:tcW w:w="821"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7C7D4F" w:rsidRDefault="007C7D4F" w:rsidP="004179EC">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Зпз 1</w:t>
            </w:r>
          </w:p>
        </w:tc>
        <w:tc>
          <w:tcPr>
            <w:tcW w:w="917" w:type="dxa"/>
            <w:tcBorders>
              <w:top w:val="single" w:sz="4" w:space="0" w:color="auto"/>
              <w:left w:val="single" w:sz="4" w:space="0" w:color="auto"/>
              <w:bottom w:val="single" w:sz="4" w:space="0" w:color="auto"/>
              <w:right w:val="single" w:sz="4" w:space="0" w:color="auto"/>
            </w:tcBorders>
          </w:tcPr>
          <w:p w:rsidR="007C7D4F" w:rsidRDefault="007C7D4F" w:rsidP="004179EC">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19</w:t>
            </w:r>
          </w:p>
        </w:tc>
        <w:tc>
          <w:tcPr>
            <w:tcW w:w="1496" w:type="dxa"/>
            <w:tcBorders>
              <w:top w:val="single" w:sz="4" w:space="0" w:color="auto"/>
              <w:left w:val="single" w:sz="4" w:space="0" w:color="auto"/>
              <w:bottom w:val="single" w:sz="4" w:space="0" w:color="auto"/>
              <w:right w:val="single" w:sz="4" w:space="0" w:color="auto"/>
            </w:tcBorders>
            <w:hideMark/>
          </w:tcPr>
          <w:p w:rsidR="007C7D4F" w:rsidRDefault="007C7D4F" w:rsidP="004179EC">
            <w:pPr>
              <w:jc w:val="both"/>
              <w:rPr>
                <w:rFonts w:ascii="Arial" w:hAnsi="Arial" w:cs="Arial"/>
                <w:bCs/>
                <w:sz w:val="18"/>
                <w:szCs w:val="18"/>
              </w:rPr>
            </w:pPr>
            <w:r>
              <w:rPr>
                <w:rFonts w:ascii="Arial" w:hAnsi="Arial" w:cs="Arial"/>
                <w:bCs/>
                <w:sz w:val="18"/>
                <w:szCs w:val="18"/>
              </w:rPr>
              <w:t>сосопственост</w:t>
            </w:r>
          </w:p>
        </w:tc>
      </w:tr>
    </w:tbl>
    <w:p w:rsidR="007C7D4F" w:rsidRDefault="007C7D4F" w:rsidP="007C7D4F">
      <w:pPr>
        <w:spacing w:after="0" w:line="240" w:lineRule="auto"/>
        <w:ind w:firstLine="720"/>
        <w:jc w:val="both"/>
        <w:rPr>
          <w:rFonts w:ascii="Arial" w:hAnsi="Arial" w:cs="Arial"/>
        </w:rPr>
      </w:pPr>
      <w:bookmarkStart w:id="21" w:name="_Hlk48053663"/>
      <w:r>
        <w:rPr>
          <w:rFonts w:ascii="Arial" w:hAnsi="Arial" w:cs="Arial"/>
          <w:bCs/>
        </w:rPr>
        <w:t xml:space="preserve">на заложните должници </w:t>
      </w:r>
      <w:r>
        <w:rPr>
          <w:rFonts w:ascii="Arial" w:hAnsi="Arial" w:cs="Arial"/>
        </w:rPr>
        <w:t xml:space="preserve">Исмаили Џевдет (право на сосопственост на 1/3 идеален дел од недвижност), Исмаили Џеваир (право на сосопственост на 1/3 идеален дел од недвижност) и Исмаили Бурим (право на сосопственост на 1/3 идеален дел од недвижност) </w:t>
      </w:r>
      <w:bookmarkEnd w:id="21"/>
      <w:r>
        <w:rPr>
          <w:rFonts w:ascii="Arial" w:hAnsi="Arial" w:cs="Arial"/>
        </w:rPr>
        <w:t>и</w:t>
      </w:r>
    </w:p>
    <w:p w:rsidR="007C7D4F" w:rsidRDefault="007C7D4F" w:rsidP="007C7D4F">
      <w:pPr>
        <w:spacing w:after="0" w:line="240" w:lineRule="auto"/>
        <w:ind w:firstLine="720"/>
        <w:jc w:val="both"/>
        <w:rPr>
          <w:rFonts w:ascii="Arial" w:hAnsi="Arial" w:cs="Arial"/>
        </w:rPr>
      </w:pPr>
    </w:p>
    <w:p w:rsidR="007C7D4F" w:rsidRDefault="007C7D4F" w:rsidP="007C7D4F">
      <w:pPr>
        <w:spacing w:after="0" w:line="240" w:lineRule="auto"/>
        <w:ind w:firstLine="720"/>
        <w:jc w:val="both"/>
        <w:rPr>
          <w:rFonts w:ascii="Arial" w:hAnsi="Arial" w:cs="Arial"/>
          <w:b/>
          <w:bCs/>
          <w:u w:val="single"/>
        </w:rPr>
      </w:pPr>
      <w:r>
        <w:rPr>
          <w:rFonts w:ascii="Arial" w:hAnsi="Arial" w:cs="Arial"/>
          <w:b/>
          <w:bCs/>
          <w:u w:val="single"/>
        </w:rPr>
        <w:t xml:space="preserve">2. Лист за предбележување на градба број 102810 КО Бутел и Геодетски елаборат Бр.0810-394 </w:t>
      </w:r>
      <w:r>
        <w:rPr>
          <w:rFonts w:ascii="Arial" w:hAnsi="Arial" w:cs="Arial"/>
          <w:b/>
          <w:bCs/>
          <w:u w:val="single"/>
          <w:shd w:val="clear" w:color="auto" w:fill="FFFFFF"/>
        </w:rPr>
        <w:t>на Трговско друштво за геодетски работи ГЕОДЕТСКИ ПРЕМЕР ДООЕЛ Кавадарци:</w:t>
      </w:r>
    </w:p>
    <w:p w:rsidR="007C7D4F" w:rsidRDefault="007C7D4F" w:rsidP="007C7D4F">
      <w:pPr>
        <w:spacing w:after="0" w:line="240" w:lineRule="auto"/>
        <w:ind w:firstLine="720"/>
        <w:jc w:val="both"/>
        <w:rPr>
          <w:rFonts w:ascii="Arial" w:hAnsi="Arial" w:cs="Arial"/>
        </w:rPr>
      </w:pPr>
      <w:r>
        <w:rPr>
          <w:rFonts w:ascii="Arial" w:hAnsi="Arial" w:cs="Arial"/>
        </w:rPr>
        <w:lastRenderedPageBreak/>
        <w:t>Листот за предбележување на градба во Катарскиот операт за КО Бутел е запишан врз основа на следниве документи:</w:t>
      </w:r>
    </w:p>
    <w:p w:rsidR="007C7D4F" w:rsidRDefault="007C7D4F" w:rsidP="007C7D4F">
      <w:pPr>
        <w:spacing w:after="0" w:line="240" w:lineRule="auto"/>
        <w:ind w:firstLine="720"/>
        <w:jc w:val="both"/>
        <w:rPr>
          <w:rFonts w:ascii="Arial" w:hAnsi="Arial" w:cs="Arial"/>
        </w:rPr>
      </w:pPr>
      <w:r>
        <w:rPr>
          <w:rFonts w:ascii="Arial" w:hAnsi="Arial" w:cs="Arial"/>
        </w:rPr>
        <w:t>-Одобрение за градба бр.22-636 од 16.09.2005 година издадено од  Општина Шуто Оризари Скопје</w:t>
      </w:r>
    </w:p>
    <w:p w:rsidR="007C7D4F" w:rsidRDefault="007C7D4F" w:rsidP="007C7D4F">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бр.03-27/2 од 27.06.2005 година;</w:t>
      </w:r>
    </w:p>
    <w:p w:rsidR="007C7D4F" w:rsidRDefault="007C7D4F" w:rsidP="007C7D4F">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7C7D4F" w:rsidRDefault="007C7D4F" w:rsidP="007C7D4F">
      <w:pPr>
        <w:spacing w:after="0" w:line="240" w:lineRule="auto"/>
        <w:ind w:firstLine="720"/>
        <w:jc w:val="both"/>
        <w:rPr>
          <w:rFonts w:ascii="Arial" w:hAnsi="Arial" w:cs="Arial"/>
        </w:rPr>
      </w:pPr>
      <w:r>
        <w:rPr>
          <w:rFonts w:ascii="Arial" w:hAnsi="Arial" w:cs="Arial"/>
        </w:rPr>
        <w:t>- Основен проект со технички бр.03.15/12.</w:t>
      </w:r>
    </w:p>
    <w:p w:rsidR="007C7D4F" w:rsidRDefault="007C7D4F" w:rsidP="007C7D4F">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направена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7C7D4F" w:rsidRDefault="007C7D4F" w:rsidP="007C7D4F">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7C7D4F" w:rsidRDefault="007C7D4F" w:rsidP="007C7D4F">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7C7D4F" w:rsidRDefault="007C7D4F" w:rsidP="007C7D4F">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7C7D4F" w:rsidRDefault="007C7D4F" w:rsidP="007C7D4F">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проценка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7C7D4F" w:rsidRDefault="007C7D4F" w:rsidP="007C7D4F">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7C7D4F" w:rsidRDefault="007C7D4F" w:rsidP="007C7D4F">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7C7D4F" w:rsidRDefault="007C7D4F" w:rsidP="007C7D4F">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7C7D4F" w:rsidRDefault="007C7D4F" w:rsidP="007C7D4F">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7C7D4F" w:rsidRDefault="007C7D4F" w:rsidP="007C7D4F">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7C7D4F" w:rsidRDefault="007C7D4F" w:rsidP="007C7D4F">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7C7D4F" w:rsidRDefault="007C7D4F" w:rsidP="007C7D4F">
      <w:pPr>
        <w:numPr>
          <w:ilvl w:val="0"/>
          <w:numId w:val="1"/>
        </w:numPr>
        <w:spacing w:after="0" w:line="240" w:lineRule="auto"/>
        <w:jc w:val="both"/>
        <w:rPr>
          <w:rFonts w:ascii="Arial" w:hAnsi="Arial" w:cs="Arial"/>
        </w:rPr>
      </w:pPr>
      <w:r>
        <w:rPr>
          <w:rFonts w:ascii="Arial" w:hAnsi="Arial" w:cs="Arial"/>
        </w:rPr>
        <w:t>Лифтовско окно на ПР и Кат.</w:t>
      </w:r>
    </w:p>
    <w:p w:rsidR="007C7D4F" w:rsidRDefault="007C7D4F" w:rsidP="007C7D4F">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7C7D4F" w:rsidRDefault="007C7D4F" w:rsidP="007C7D4F">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7C7D4F" w:rsidRDefault="007C7D4F" w:rsidP="007C7D4F">
      <w:pPr>
        <w:spacing w:after="0" w:line="240" w:lineRule="auto"/>
        <w:ind w:firstLine="720"/>
        <w:jc w:val="both"/>
        <w:rPr>
          <w:rFonts w:ascii="Arial" w:hAnsi="Arial" w:cs="Arial"/>
        </w:rPr>
      </w:pPr>
    </w:p>
    <w:p w:rsidR="007C7D4F" w:rsidRDefault="007C7D4F" w:rsidP="007C7D4F">
      <w:pPr>
        <w:spacing w:after="0" w:line="240" w:lineRule="auto"/>
        <w:ind w:firstLine="720"/>
        <w:jc w:val="both"/>
        <w:rPr>
          <w:rFonts w:ascii="Arial" w:hAnsi="Arial" w:cs="Arial"/>
          <w:b/>
          <w:bCs/>
          <w:u w:val="single"/>
        </w:rPr>
      </w:pPr>
      <w:r>
        <w:rPr>
          <w:rFonts w:ascii="Arial" w:hAnsi="Arial" w:cs="Arial"/>
          <w:b/>
          <w:bCs/>
          <w:u w:val="single"/>
        </w:rPr>
        <w:t xml:space="preserve">Продажбата ќе се одржи на ден </w:t>
      </w:r>
      <w:r>
        <w:rPr>
          <w:rFonts w:ascii="Arial" w:hAnsi="Arial" w:cs="Arial"/>
          <w:b/>
          <w:bCs/>
          <w:u w:val="single"/>
          <w:lang w:val="ru-RU"/>
        </w:rPr>
        <w:t xml:space="preserve">27.10.2022 </w:t>
      </w:r>
      <w:r>
        <w:rPr>
          <w:rFonts w:ascii="Arial" w:hAnsi="Arial" w:cs="Arial"/>
          <w:b/>
          <w:bCs/>
          <w:u w:val="single"/>
        </w:rPr>
        <w:t xml:space="preserve">година во </w:t>
      </w:r>
      <w:r>
        <w:rPr>
          <w:rFonts w:ascii="Arial" w:hAnsi="Arial" w:cs="Arial"/>
          <w:b/>
          <w:bCs/>
          <w:u w:val="single"/>
          <w:lang w:val="ru-RU"/>
        </w:rPr>
        <w:t xml:space="preserve">14:00 </w:t>
      </w:r>
      <w:r>
        <w:rPr>
          <w:rFonts w:ascii="Arial" w:hAnsi="Arial" w:cs="Arial"/>
          <w:b/>
          <w:bCs/>
          <w:u w:val="single"/>
        </w:rPr>
        <w:t>часот  во просториите на Извршител Катерина Кокина, Бул.„Св. Климент Охридски“ бр.52/1-9, Скопје.</w:t>
      </w:r>
    </w:p>
    <w:p w:rsidR="007C7D4F" w:rsidRDefault="007C7D4F" w:rsidP="007C7D4F">
      <w:pPr>
        <w:spacing w:after="0" w:line="240" w:lineRule="auto"/>
        <w:ind w:firstLine="720"/>
        <w:jc w:val="both"/>
        <w:rPr>
          <w:rFonts w:ascii="Arial" w:hAnsi="Arial" w:cs="Arial"/>
        </w:rPr>
      </w:pPr>
      <w:r>
        <w:rPr>
          <w:rFonts w:ascii="Arial" w:hAnsi="Arial" w:cs="Arial"/>
        </w:rPr>
        <w:t xml:space="preserve">Почетната цена на недвижноста, утврдена со Заклучок за утврдување на вредност/цена на недвижност врз основа на чл.185 став 2 од ЗИ на извршителот </w:t>
      </w:r>
      <w:r>
        <w:rPr>
          <w:rFonts w:ascii="Arial" w:hAnsi="Arial" w:cs="Arial"/>
          <w:lang w:val="ru-RU"/>
        </w:rPr>
        <w:t>Катерина Кокина И.бр.1542/21</w:t>
      </w:r>
      <w:r>
        <w:rPr>
          <w:rFonts w:ascii="Arial" w:hAnsi="Arial" w:cs="Arial"/>
        </w:rPr>
        <w:t xml:space="preserve">  од 12.08.2022 година изнесува:</w:t>
      </w:r>
    </w:p>
    <w:p w:rsidR="007C7D4F" w:rsidRDefault="007C7D4F" w:rsidP="007C7D4F">
      <w:pPr>
        <w:spacing w:after="0" w:line="240" w:lineRule="auto"/>
        <w:ind w:firstLine="720"/>
        <w:jc w:val="both"/>
        <w:rPr>
          <w:rFonts w:ascii="Arial" w:hAnsi="Arial" w:cs="Arial"/>
        </w:rPr>
      </w:pPr>
    </w:p>
    <w:p w:rsidR="007C7D4F" w:rsidRDefault="007C7D4F" w:rsidP="007C7D4F">
      <w:pPr>
        <w:ind w:firstLine="720"/>
        <w:jc w:val="both"/>
        <w:rPr>
          <w:rFonts w:ascii="Arial" w:hAnsi="Arial" w:cs="Arial"/>
          <w:b/>
          <w:bCs/>
          <w:u w:val="single"/>
        </w:rPr>
      </w:pPr>
      <w:r>
        <w:rPr>
          <w:rFonts w:ascii="Arial" w:hAnsi="Arial" w:cs="Arial"/>
          <w:b/>
          <w:bCs/>
          <w:u w:val="single"/>
        </w:rPr>
        <w:t>1.Цена  на земјиште:</w:t>
      </w:r>
    </w:p>
    <w:p w:rsidR="007C7D4F" w:rsidRDefault="007C7D4F" w:rsidP="007C7D4F">
      <w:pPr>
        <w:numPr>
          <w:ilvl w:val="0"/>
          <w:numId w:val="1"/>
        </w:numPr>
        <w:spacing w:after="0" w:line="240" w:lineRule="auto"/>
        <w:jc w:val="both"/>
        <w:rPr>
          <w:rFonts w:ascii="Arial" w:hAnsi="Arial" w:cs="Arial"/>
        </w:rPr>
      </w:pPr>
      <w:r>
        <w:rPr>
          <w:rFonts w:ascii="Arial" w:hAnsi="Arial" w:cs="Arial"/>
          <w:b/>
          <w:bCs/>
          <w:u w:val="single"/>
        </w:rPr>
        <w:t>К.П. 6076/1 со цена од  16.608,67 € ( 1.024.672,00 ден.)</w:t>
      </w:r>
    </w:p>
    <w:p w:rsidR="007C7D4F" w:rsidRDefault="007C7D4F" w:rsidP="007C7D4F">
      <w:pPr>
        <w:numPr>
          <w:ilvl w:val="0"/>
          <w:numId w:val="1"/>
        </w:numPr>
        <w:spacing w:after="0" w:line="240" w:lineRule="auto"/>
        <w:jc w:val="both"/>
        <w:rPr>
          <w:rFonts w:ascii="Arial" w:hAnsi="Arial" w:cs="Arial"/>
        </w:rPr>
      </w:pPr>
      <w:r>
        <w:rPr>
          <w:rFonts w:ascii="Arial" w:hAnsi="Arial" w:cs="Arial"/>
          <w:b/>
          <w:bCs/>
          <w:u w:val="single"/>
        </w:rPr>
        <w:t>К.П. 6076/2 со цена од 2.187,33 € (134.947,00 ден.)</w:t>
      </w:r>
    </w:p>
    <w:p w:rsidR="007C7D4F" w:rsidRDefault="007C7D4F" w:rsidP="007C7D4F">
      <w:pPr>
        <w:numPr>
          <w:ilvl w:val="0"/>
          <w:numId w:val="1"/>
        </w:numPr>
        <w:spacing w:after="0" w:line="240" w:lineRule="auto"/>
        <w:jc w:val="both"/>
        <w:rPr>
          <w:rFonts w:ascii="Arial" w:hAnsi="Arial" w:cs="Arial"/>
        </w:rPr>
      </w:pPr>
      <w:r>
        <w:rPr>
          <w:rFonts w:ascii="Arial" w:hAnsi="Arial" w:cs="Arial"/>
          <w:b/>
          <w:bCs/>
          <w:u w:val="single"/>
        </w:rPr>
        <w:t>К.П. 6077 со цена од 42.920.67 € (2.648.000,00 ден.)</w:t>
      </w:r>
    </w:p>
    <w:p w:rsidR="007C7D4F" w:rsidRDefault="007C7D4F" w:rsidP="007C7D4F">
      <w:pPr>
        <w:numPr>
          <w:ilvl w:val="0"/>
          <w:numId w:val="1"/>
        </w:numPr>
        <w:spacing w:after="0" w:line="240" w:lineRule="auto"/>
        <w:jc w:val="both"/>
        <w:rPr>
          <w:rFonts w:ascii="Arial" w:hAnsi="Arial" w:cs="Arial"/>
        </w:rPr>
      </w:pPr>
      <w:r>
        <w:rPr>
          <w:rFonts w:ascii="Arial" w:hAnsi="Arial" w:cs="Arial"/>
          <w:b/>
          <w:bCs/>
          <w:u w:val="single"/>
        </w:rPr>
        <w:t>К.П. 6095 со цена од  11.864.67 € (731.991,00 ден.)</w:t>
      </w:r>
    </w:p>
    <w:p w:rsidR="007C7D4F" w:rsidRDefault="007C7D4F" w:rsidP="007C7D4F">
      <w:pPr>
        <w:ind w:left="1080"/>
        <w:jc w:val="both"/>
        <w:rPr>
          <w:rFonts w:ascii="Arial" w:hAnsi="Arial" w:cs="Arial"/>
        </w:rPr>
      </w:pPr>
      <w:r>
        <w:rPr>
          <w:rFonts w:ascii="Arial" w:hAnsi="Arial" w:cs="Arial"/>
          <w:b/>
          <w:bCs/>
          <w:u w:val="single"/>
        </w:rPr>
        <w:t>2. Цена  на недвижноста – изведена состојба  351.922,67€ (21.711.869,00 ден.)</w:t>
      </w:r>
    </w:p>
    <w:p w:rsidR="007C7D4F" w:rsidRDefault="007C7D4F" w:rsidP="007C7D4F">
      <w:pPr>
        <w:spacing w:after="0" w:line="240" w:lineRule="auto"/>
        <w:ind w:left="1080"/>
        <w:jc w:val="both"/>
        <w:rPr>
          <w:rFonts w:ascii="Arial" w:hAnsi="Arial" w:cs="Arial"/>
          <w:shd w:val="clear" w:color="auto" w:fill="FFFFFF"/>
        </w:rPr>
      </w:pPr>
      <w:r>
        <w:rPr>
          <w:rFonts w:ascii="Arial" w:hAnsi="Arial" w:cs="Arial"/>
          <w:b/>
          <w:bCs/>
          <w:u w:val="single"/>
        </w:rPr>
        <w:t xml:space="preserve">Вкупна цена од 425.504,01 € (26.251.479,00 ден.) </w:t>
      </w:r>
      <w:r>
        <w:rPr>
          <w:rFonts w:ascii="Arial" w:hAnsi="Arial" w:cs="Arial"/>
          <w:shd w:val="clear" w:color="auto" w:fill="FFFFFF"/>
        </w:rPr>
        <w:t>како почетна цена за втората продажба со усно јасно наддавање, под која недвижноста не може да се продаде на втората продажба со усно јавно наддавање.</w:t>
      </w:r>
    </w:p>
    <w:p w:rsidR="007C7D4F" w:rsidRDefault="007C7D4F" w:rsidP="007C7D4F">
      <w:pPr>
        <w:spacing w:after="0"/>
        <w:ind w:left="1080"/>
        <w:jc w:val="both"/>
        <w:rPr>
          <w:rFonts w:ascii="Arial" w:hAnsi="Arial" w:cs="Arial"/>
          <w:shd w:val="clear" w:color="auto" w:fill="FFFFFF"/>
        </w:rPr>
      </w:pPr>
    </w:p>
    <w:p w:rsidR="007C7D4F" w:rsidRDefault="007C7D4F" w:rsidP="007C7D4F">
      <w:pPr>
        <w:spacing w:after="0" w:line="240" w:lineRule="auto"/>
        <w:ind w:firstLine="720"/>
        <w:jc w:val="both"/>
        <w:rPr>
          <w:rFonts w:ascii="Arial" w:hAnsi="Arial" w:cs="Arial"/>
        </w:rPr>
      </w:pPr>
      <w:r>
        <w:rPr>
          <w:rFonts w:ascii="Arial" w:hAnsi="Arial" w:cs="Arial"/>
        </w:rPr>
        <w:t>Согласно Барање за закажување второ јавно наддавање Бр.18/1-33 од 12.08.2022 година од доверителот доставено до извршителот на маил на 12.08.2022 година продажбата на недвижноста ќе се продава  како една целина (во пакет).</w:t>
      </w:r>
    </w:p>
    <w:p w:rsidR="007C7D4F" w:rsidRDefault="007C7D4F" w:rsidP="007C7D4F">
      <w:pPr>
        <w:spacing w:after="0" w:line="240" w:lineRule="auto"/>
        <w:ind w:firstLine="720"/>
        <w:jc w:val="both"/>
        <w:rPr>
          <w:rFonts w:ascii="Arial" w:hAnsi="Arial" w:cs="Arial"/>
        </w:rPr>
      </w:pPr>
      <w:r>
        <w:rPr>
          <w:rFonts w:ascii="Arial" w:hAnsi="Arial" w:cs="Arial"/>
        </w:rPr>
        <w:lastRenderedPageBreak/>
        <w:t xml:space="preserve">Согласно чл.205-а ст.2 од ЗИ заклучокот за извршена продажба на изградениот дел од идната градба заедно со правото на градење претставува правен основ за стекнување на правото на градење со сите права и обврски поврзани со идната градба кое преставува правен основ  за стекнување на правото на сопственост врз делот на градба што се извршува. Правото на градење се пренесува на купувачот заедно со идната градба, во состојба, односно фаза на изведеност на идната градба. </w:t>
      </w:r>
    </w:p>
    <w:p w:rsidR="007C7D4F" w:rsidRDefault="007C7D4F" w:rsidP="007C7D4F">
      <w:pPr>
        <w:spacing w:after="0" w:line="240" w:lineRule="auto"/>
        <w:ind w:firstLine="720"/>
        <w:jc w:val="both"/>
        <w:rPr>
          <w:rFonts w:ascii="Arial" w:hAnsi="Arial" w:cs="Arial"/>
        </w:rPr>
      </w:pPr>
      <w:r>
        <w:rPr>
          <w:rFonts w:ascii="Arial" w:hAnsi="Arial" w:cs="Arial"/>
        </w:rPr>
        <w:t>Листот за предбележување на градба во Катарскиот операт за КО Бутел е запишан врз основа на следниве документи:</w:t>
      </w:r>
    </w:p>
    <w:p w:rsidR="007C7D4F" w:rsidRDefault="007C7D4F" w:rsidP="007C7D4F">
      <w:pPr>
        <w:spacing w:after="0" w:line="240" w:lineRule="auto"/>
        <w:ind w:firstLine="720"/>
        <w:jc w:val="both"/>
        <w:rPr>
          <w:rFonts w:ascii="Arial" w:hAnsi="Arial" w:cs="Arial"/>
        </w:rPr>
      </w:pPr>
      <w:r>
        <w:rPr>
          <w:rFonts w:ascii="Arial" w:hAnsi="Arial" w:cs="Arial"/>
        </w:rPr>
        <w:t>-Одобрение за градба бр.22-636 од 16.09.2005 година издадено од  Општина Шуто Оризари Скопје</w:t>
      </w:r>
    </w:p>
    <w:p w:rsidR="007C7D4F" w:rsidRDefault="007C7D4F" w:rsidP="007C7D4F">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бр.о3-27/2 од 27.06.2005 година;</w:t>
      </w:r>
    </w:p>
    <w:p w:rsidR="007C7D4F" w:rsidRDefault="007C7D4F" w:rsidP="007C7D4F">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7C7D4F" w:rsidRDefault="007C7D4F" w:rsidP="007C7D4F">
      <w:pPr>
        <w:spacing w:after="0" w:line="240" w:lineRule="auto"/>
        <w:ind w:firstLine="720"/>
        <w:jc w:val="both"/>
        <w:rPr>
          <w:rFonts w:ascii="Arial" w:hAnsi="Arial" w:cs="Arial"/>
        </w:rPr>
      </w:pPr>
      <w:r>
        <w:rPr>
          <w:rFonts w:ascii="Arial" w:hAnsi="Arial" w:cs="Arial"/>
        </w:rPr>
        <w:t>- Основен проект со технички бр.03.15/12.</w:t>
      </w:r>
    </w:p>
    <w:p w:rsidR="007C7D4F" w:rsidRDefault="007C7D4F" w:rsidP="007C7D4F">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7C7D4F" w:rsidRDefault="007C7D4F" w:rsidP="007C7D4F">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7C7D4F" w:rsidRDefault="007C7D4F" w:rsidP="007C7D4F">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7C7D4F" w:rsidRDefault="007C7D4F" w:rsidP="007C7D4F">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7C7D4F" w:rsidRDefault="007C7D4F" w:rsidP="007C7D4F">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порценка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7C7D4F" w:rsidRDefault="007C7D4F" w:rsidP="007C7D4F">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7C7D4F" w:rsidRDefault="007C7D4F" w:rsidP="007C7D4F">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7C7D4F" w:rsidRDefault="007C7D4F" w:rsidP="007C7D4F">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7C7D4F" w:rsidRDefault="007C7D4F" w:rsidP="007C7D4F">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7C7D4F" w:rsidRDefault="007C7D4F" w:rsidP="007C7D4F">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7C7D4F" w:rsidRDefault="007C7D4F" w:rsidP="007C7D4F">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7C7D4F" w:rsidRDefault="007C7D4F" w:rsidP="007C7D4F">
      <w:pPr>
        <w:numPr>
          <w:ilvl w:val="0"/>
          <w:numId w:val="1"/>
        </w:numPr>
        <w:spacing w:after="0" w:line="240" w:lineRule="auto"/>
        <w:jc w:val="both"/>
        <w:rPr>
          <w:rFonts w:ascii="Arial" w:hAnsi="Arial" w:cs="Arial"/>
        </w:rPr>
      </w:pPr>
      <w:r>
        <w:rPr>
          <w:rFonts w:ascii="Arial" w:hAnsi="Arial" w:cs="Arial"/>
        </w:rPr>
        <w:t>Лифтовско окно на ПР и Кат.</w:t>
      </w:r>
    </w:p>
    <w:p w:rsidR="007C7D4F" w:rsidRDefault="007C7D4F" w:rsidP="007C7D4F">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7C7D4F" w:rsidRDefault="007C7D4F" w:rsidP="007C7D4F">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7C7D4F" w:rsidRDefault="007C7D4F" w:rsidP="007C7D4F">
      <w:pPr>
        <w:spacing w:after="0" w:line="240" w:lineRule="auto"/>
        <w:ind w:firstLine="720"/>
        <w:jc w:val="both"/>
        <w:rPr>
          <w:rFonts w:ascii="Arial" w:hAnsi="Arial" w:cs="Arial"/>
          <w:b/>
          <w:bCs/>
        </w:rPr>
      </w:pPr>
    </w:p>
    <w:p w:rsidR="007C7D4F" w:rsidRDefault="007C7D4F" w:rsidP="007C7D4F">
      <w:pPr>
        <w:spacing w:after="0" w:line="240" w:lineRule="auto"/>
        <w:ind w:firstLine="720"/>
        <w:jc w:val="both"/>
        <w:rPr>
          <w:rFonts w:ascii="Arial" w:hAnsi="Arial" w:cs="Arial"/>
        </w:rPr>
      </w:pPr>
      <w:r>
        <w:rPr>
          <w:rFonts w:ascii="Arial" w:hAnsi="Arial" w:cs="Arial"/>
        </w:rPr>
        <w:t xml:space="preserve">Предметните недвижности евидентирани во </w:t>
      </w:r>
      <w:r>
        <w:rPr>
          <w:rFonts w:ascii="Arial" w:hAnsi="Arial" w:cs="Arial"/>
          <w:bCs/>
        </w:rPr>
        <w:t xml:space="preserve">Имотен лист број:3533 КО Бутел и Лист за предбележување на градба број 102810 КО Бутел </w:t>
      </w:r>
      <w:r>
        <w:rPr>
          <w:rFonts w:ascii="Arial" w:hAnsi="Arial" w:cs="Arial"/>
        </w:rPr>
        <w:t xml:space="preserve"> се оптоварени со следните товари и службености:</w:t>
      </w:r>
    </w:p>
    <w:p w:rsidR="007C7D4F" w:rsidRDefault="007C7D4F" w:rsidP="007C7D4F">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бр.257/13 од 10.06.2013 година на Нотар Верица Симоновска Синадиновска и</w:t>
      </w:r>
    </w:p>
    <w:p w:rsidR="007C7D4F" w:rsidRDefault="007C7D4F" w:rsidP="007C7D4F">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бр.317/15 од 12.06.2015 година на Нотар Верица Симоновска Синадиновска.</w:t>
      </w:r>
    </w:p>
    <w:p w:rsidR="007C7D4F" w:rsidRDefault="007C7D4F" w:rsidP="007C7D4F">
      <w:pPr>
        <w:spacing w:after="0" w:line="240" w:lineRule="auto"/>
        <w:ind w:firstLine="720"/>
        <w:jc w:val="both"/>
        <w:rPr>
          <w:rFonts w:ascii="Arial" w:hAnsi="Arial" w:cs="Arial"/>
        </w:rPr>
      </w:pPr>
      <w:r>
        <w:rPr>
          <w:rFonts w:ascii="Arial"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7C7D4F" w:rsidRDefault="007C7D4F" w:rsidP="007C7D4F">
      <w:pPr>
        <w:spacing w:after="0" w:line="240" w:lineRule="auto"/>
        <w:ind w:firstLine="720"/>
        <w:jc w:val="both"/>
        <w:rPr>
          <w:rFonts w:ascii="Arial" w:hAnsi="Arial" w:cs="Arial"/>
        </w:rPr>
      </w:pPr>
      <w:r>
        <w:rPr>
          <w:rFonts w:ascii="Arial" w:hAnsi="Arial" w:cs="Arial"/>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Заинтересираните купувачи потребно е да уплатат гаранција која изнесува 1/10 од вкупната утврдена вредност на секој од пакетите за кои ќе наддаваат.</w:t>
      </w:r>
    </w:p>
    <w:p w:rsidR="007C7D4F" w:rsidRDefault="007C7D4F" w:rsidP="007C7D4F">
      <w:pPr>
        <w:spacing w:after="0" w:line="240" w:lineRule="auto"/>
        <w:ind w:firstLine="720"/>
        <w:jc w:val="both"/>
        <w:rPr>
          <w:rFonts w:ascii="Arial" w:hAnsi="Arial" w:cs="Arial"/>
          <w:lang w:val="en-US"/>
        </w:rPr>
      </w:pPr>
      <w:r>
        <w:rPr>
          <w:rFonts w:ascii="Arial" w:hAnsi="Arial" w:cs="Arial"/>
        </w:rPr>
        <w:t>Уплатата на паричните средства на име гаранција се врши на посебната сметка од извршителот со бр.</w:t>
      </w:r>
      <w:r>
        <w:rPr>
          <w:rFonts w:ascii="Arial" w:hAnsi="Arial" w:cs="Arial"/>
          <w:lang w:val="ru-RU"/>
        </w:rPr>
        <w:t xml:space="preserve"> </w:t>
      </w:r>
      <w:r>
        <w:rPr>
          <w:rFonts w:ascii="Arial" w:hAnsi="Arial" w:cs="Arial"/>
          <w:color w:val="000000"/>
          <w:lang w:eastAsia="mk-MK"/>
        </w:rPr>
        <w:t>200002387764020</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eastAsia="mk-MK"/>
        </w:rPr>
        <w:t>Стопанска Банка АД Скопје</w:t>
      </w:r>
      <w:r>
        <w:rPr>
          <w:rFonts w:ascii="Arial" w:hAnsi="Arial" w:cs="Arial"/>
        </w:rPr>
        <w:t xml:space="preserve"> и даночен број </w:t>
      </w:r>
      <w:r>
        <w:rPr>
          <w:rFonts w:ascii="Arial" w:hAnsi="Arial" w:cs="Arial"/>
          <w:color w:val="000000"/>
          <w:lang w:eastAsia="mk-MK"/>
        </w:rPr>
        <w:t>МК5080011502026</w:t>
      </w:r>
      <w:r>
        <w:rPr>
          <w:rFonts w:ascii="Arial" w:hAnsi="Arial" w:cs="Arial"/>
          <w:lang w:val="en-US"/>
        </w:rPr>
        <w:t>.</w:t>
      </w:r>
    </w:p>
    <w:p w:rsidR="007C7D4F" w:rsidRDefault="007C7D4F" w:rsidP="007C7D4F">
      <w:pPr>
        <w:spacing w:after="0" w:line="240" w:lineRule="auto"/>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7C7D4F" w:rsidRDefault="007C7D4F" w:rsidP="007C7D4F">
      <w:pPr>
        <w:spacing w:after="0" w:line="240" w:lineRule="auto"/>
        <w:ind w:firstLine="720"/>
        <w:jc w:val="both"/>
        <w:rPr>
          <w:rFonts w:ascii="Arial" w:hAnsi="Arial" w:cs="Arial"/>
        </w:rPr>
      </w:pPr>
      <w:r>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(петнаесет) </w:t>
      </w:r>
      <w:r>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C7D4F" w:rsidRDefault="007C7D4F" w:rsidP="007C7D4F">
      <w:pPr>
        <w:spacing w:after="0" w:line="240" w:lineRule="auto"/>
        <w:ind w:firstLine="720"/>
        <w:jc w:val="both"/>
        <w:rPr>
          <w:rFonts w:ascii="Arial" w:hAnsi="Arial" w:cs="Arial"/>
        </w:rPr>
      </w:pPr>
    </w:p>
    <w:p w:rsidR="007C7D4F" w:rsidRDefault="007C7D4F" w:rsidP="007C7D4F">
      <w:pPr>
        <w:spacing w:after="0" w:line="240" w:lineRule="auto"/>
        <w:ind w:firstLine="720"/>
        <w:jc w:val="both"/>
        <w:rPr>
          <w:rFonts w:ascii="Arial" w:hAnsi="Arial" w:cs="Arial"/>
        </w:rPr>
      </w:pPr>
      <w:r>
        <w:rPr>
          <w:rFonts w:ascii="Arial" w:hAnsi="Arial" w:cs="Arial"/>
        </w:rPr>
        <w:t>Овој заклучок ќе се објави во следните средства за јавно информирање</w:t>
      </w:r>
      <w:r>
        <w:rPr>
          <w:rFonts w:ascii="Arial" w:hAnsi="Arial" w:cs="Arial"/>
          <w:lang w:val="ru-RU"/>
        </w:rPr>
        <w:t xml:space="preserve"> Нова Македонија и електронски на веб страницата на Комората </w:t>
      </w:r>
      <w:r>
        <w:rPr>
          <w:rFonts w:ascii="Arial" w:hAnsi="Arial" w:cs="Arial"/>
        </w:rPr>
        <w:t>.</w:t>
      </w:r>
    </w:p>
    <w:p w:rsidR="007C7D4F" w:rsidRDefault="007C7D4F" w:rsidP="007C7D4F">
      <w:pPr>
        <w:spacing w:after="0" w:line="240" w:lineRule="auto"/>
        <w:ind w:firstLine="720"/>
        <w:jc w:val="both"/>
        <w:rPr>
          <w:rFonts w:ascii="Arial" w:hAnsi="Arial" w:cs="Arial"/>
        </w:rPr>
      </w:pPr>
      <w:r>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tab/>
      </w:r>
      <w:r>
        <w:tab/>
      </w:r>
      <w:r>
        <w:tab/>
      </w:r>
    </w:p>
    <w:p w:rsidR="007C7D4F" w:rsidRDefault="007C7D4F" w:rsidP="007C7D4F">
      <w:pPr>
        <w:autoSpaceDE w:val="0"/>
        <w:autoSpaceDN w:val="0"/>
        <w:adjustRightInd w:val="0"/>
        <w:spacing w:before="240" w:after="0" w:line="240" w:lineRule="auto"/>
        <w:rPr>
          <w:rFonts w:ascii="Arial" w:hAnsi="Arial" w:cs="Arial"/>
          <w:sz w:val="20"/>
          <w:szCs w:val="20"/>
          <w:lang w:val="en-US"/>
        </w:rPr>
      </w:pPr>
      <w:r>
        <w:rPr>
          <w:rFonts w:ascii="Arial" w:hAnsi="Arial" w:cs="Arial"/>
        </w:rPr>
        <w:tab/>
        <w:t xml:space="preserve">        </w:t>
      </w:r>
      <w:r>
        <w:rPr>
          <w:rFonts w:ascii="Arial" w:hAnsi="Arial" w:cs="Arial"/>
        </w:rPr>
        <w:tab/>
        <w:t xml:space="preserve">  </w:t>
      </w:r>
    </w:p>
    <w:p w:rsidR="007C7D4F" w:rsidRDefault="007C7D4F" w:rsidP="007C7D4F">
      <w:pPr>
        <w:autoSpaceDE w:val="0"/>
        <w:autoSpaceDN w:val="0"/>
        <w:adjustRightInd w:val="0"/>
        <w:spacing w:after="0" w:line="240" w:lineRule="auto"/>
        <w:rPr>
          <w:rFonts w:ascii="Arial" w:hAnsi="Arial" w:cs="Arial"/>
          <w:sz w:val="20"/>
          <w:szCs w:val="20"/>
        </w:rPr>
      </w:pPr>
    </w:p>
    <w:p w:rsidR="007C7D4F" w:rsidRDefault="007C7D4F" w:rsidP="007C7D4F">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7C7D4F" w:rsidTr="004179EC">
        <w:trPr>
          <w:trHeight w:val="851"/>
        </w:trPr>
        <w:tc>
          <w:tcPr>
            <w:tcW w:w="4297" w:type="dxa"/>
            <w:hideMark/>
          </w:tcPr>
          <w:p w:rsidR="007C7D4F" w:rsidRDefault="007C7D4F" w:rsidP="004179EC">
            <w:pPr>
              <w:pStyle w:val="BodyText"/>
              <w:jc w:val="center"/>
              <w:rPr>
                <w:rFonts w:ascii="Arial" w:hAnsi="Arial" w:cs="Arial"/>
                <w:sz w:val="22"/>
                <w:szCs w:val="22"/>
                <w:lang w:val="mk-MK"/>
              </w:rPr>
            </w:pPr>
            <w:r>
              <w:rPr>
                <w:rFonts w:ascii="Arial" w:hAnsi="Arial" w:cs="Arial"/>
                <w:sz w:val="22"/>
                <w:szCs w:val="22"/>
                <w:lang w:val="mk-MK"/>
              </w:rPr>
              <w:t>Катерина Кокина</w:t>
            </w:r>
          </w:p>
        </w:tc>
      </w:tr>
    </w:tbl>
    <w:p w:rsidR="00554F5F" w:rsidRDefault="00BC026D"/>
    <w:sectPr w:rsidR="00554F5F" w:rsidSect="007C7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60F1"/>
    <w:multiLevelType w:val="hybridMultilevel"/>
    <w:tmpl w:val="92BCC566"/>
    <w:lvl w:ilvl="0" w:tplc="B9AC6F2E">
      <w:numFmt w:val="bullet"/>
      <w:lvlText w:val="-"/>
      <w:lvlJc w:val="left"/>
      <w:pPr>
        <w:ind w:left="10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FAD3FBB"/>
    <w:multiLevelType w:val="hybridMultilevel"/>
    <w:tmpl w:val="DF88120A"/>
    <w:lvl w:ilvl="0" w:tplc="D92C1444">
      <w:start w:val="2"/>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4F"/>
    <w:rsid w:val="00747360"/>
    <w:rsid w:val="007C7D4F"/>
    <w:rsid w:val="00856DC6"/>
    <w:rsid w:val="00BC026D"/>
    <w:rsid w:val="00D4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F"/>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D4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7C7D4F"/>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7C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4F"/>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4F"/>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D4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7C7D4F"/>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7C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4F"/>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Goluba1</dc:creator>
  <cp:lastModifiedBy>Комора на извршители</cp:lastModifiedBy>
  <cp:revision>2</cp:revision>
  <dcterms:created xsi:type="dcterms:W3CDTF">2022-10-05T13:25:00Z</dcterms:created>
  <dcterms:modified xsi:type="dcterms:W3CDTF">2022-10-05T13:25:00Z</dcterms:modified>
</cp:coreProperties>
</file>